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lang w:eastAsia="zh-CN"/>
        </w:rPr>
        <w:t>墨江县乡(镇)通三级公路建设项目坝溜公路 K3+746~K8+010段段 防护排水工程</w:t>
      </w: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rPr>
        <w:t>中路建设（云南）有限公司墨江分公司</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b/>
          <w:sz w:val="28"/>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墨江哈尼族自治县地方公路管理段       </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云南省普洱市墨江县         </w:t>
      </w:r>
      <w:r>
        <w:rPr>
          <w:rFonts w:hint="eastAsia" w:ascii="宋体" w:hAnsi="宋体"/>
          <w:bCs/>
          <w:sz w:val="28"/>
          <w:u w:val="single"/>
        </w:rPr>
        <w:t xml:space="preserve">        </w:t>
      </w:r>
    </w:p>
    <w:p w14:paraId="4F848B5E">
      <w:pPr>
        <w:ind w:firstLine="1124" w:firstLineChars="400"/>
        <w:rPr>
          <w:rFonts w:hint="eastAsia" w:ascii="宋体" w:hAnsi="宋体"/>
          <w:b/>
          <w:bCs/>
          <w:sz w:val="36"/>
          <w:szCs w:val="36"/>
        </w:rPr>
      </w:pPr>
      <w:r>
        <w:rPr>
          <w:rFonts w:hint="eastAsia" w:ascii="宋体" w:hAnsi="宋体"/>
          <w:b/>
          <w:sz w:val="28"/>
        </w:rPr>
        <w:t>合同签订时间：</w:t>
      </w:r>
      <w:r>
        <w:rPr>
          <w:rFonts w:hint="eastAsia" w:ascii="宋体" w:hAnsi="宋体"/>
          <w:bCs/>
          <w:sz w:val="28"/>
          <w:u w:val="single"/>
        </w:rPr>
        <w:t xml:space="preserve">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中路建设云南有限公司墨江分公司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统一社会信用代码：91530822MAC5F0013F</w:t>
      </w:r>
    </w:p>
    <w:p w14:paraId="48CD3A05">
      <w:pPr>
        <w:widowControl/>
        <w:spacing w:line="500" w:lineRule="exact"/>
        <w:ind w:firstLine="470" w:firstLineChars="196"/>
        <w:rPr>
          <w:rFonts w:hint="eastAsia" w:ascii="宋体" w:hAnsi="宋体"/>
          <w:sz w:val="24"/>
          <w:szCs w:val="24"/>
        </w:rPr>
      </w:pPr>
      <w:r>
        <w:rPr>
          <w:rFonts w:hint="eastAsia" w:ascii="宋体" w:hAnsi="宋体"/>
          <w:sz w:val="24"/>
          <w:szCs w:val="24"/>
        </w:rPr>
        <w:t>地址：云南省普洱市墨江哈尼族自治县联珠镇埔佐社区银匠冲一组</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sz w:val="24"/>
          <w:szCs w:val="24"/>
        </w:rPr>
      </w:pPr>
      <w:r>
        <w:rPr>
          <w:rFonts w:hint="eastAsia" w:ascii="宋体" w:hAnsi="宋体"/>
          <w:sz w:val="24"/>
          <w:szCs w:val="24"/>
        </w:rPr>
        <w:t>联系电话：17787293574</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1C8F62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法定代表人：</w:t>
      </w:r>
      <w:r>
        <w:rPr>
          <w:rFonts w:hint="eastAsia" w:ascii="宋体" w:hAnsi="宋体"/>
          <w:sz w:val="24"/>
          <w:szCs w:val="24"/>
          <w:lang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w:t>
      </w:r>
      <w:r>
        <w:rPr>
          <w:rFonts w:hint="eastAsia" w:ascii="宋体" w:hAnsi="宋体" w:cs="宋体"/>
          <w:sz w:val="24"/>
          <w:szCs w:val="24"/>
          <w:lang w:eastAsia="zh-CN"/>
        </w:rPr>
        <w:t>、</w:t>
      </w:r>
      <w:r>
        <w:rPr>
          <w:rFonts w:hint="eastAsia" w:ascii="宋体" w:hAnsi="宋体" w:cs="宋体"/>
          <w:sz w:val="24"/>
          <w:szCs w:val="24"/>
          <w:lang w:val="en-US" w:eastAsia="zh-CN"/>
        </w:rPr>
        <w:t>伸缩（沉降）缝材料、</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2FAAEE24">
      <w:pPr>
        <w:spacing w:line="360" w:lineRule="auto"/>
        <w:ind w:firstLine="480" w:firstLineChars="200"/>
        <w:rPr>
          <w:rFonts w:hint="eastAsia" w:ascii="宋体" w:hAnsi="宋体" w:cs="宋体"/>
          <w:sz w:val="24"/>
          <w:szCs w:val="24"/>
        </w:rPr>
      </w:pPr>
      <w:r>
        <w:rPr>
          <w:rFonts w:hint="eastAsia" w:ascii="宋体" w:hAnsi="宋体" w:cs="宋体"/>
          <w:sz w:val="24"/>
          <w:szCs w:val="24"/>
        </w:rPr>
        <w:t>2.2.1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4B7EB165">
      <w:pPr>
        <w:spacing w:line="360" w:lineRule="auto"/>
        <w:ind w:firstLine="480" w:firstLineChars="200"/>
        <w:rPr>
          <w:rFonts w:hint="eastAsia" w:ascii="宋体" w:hAnsi="宋体" w:cs="宋体"/>
          <w:sz w:val="24"/>
          <w:szCs w:val="24"/>
        </w:rPr>
      </w:pPr>
      <w:r>
        <w:rPr>
          <w:rFonts w:hint="eastAsia" w:ascii="宋体" w:hAnsi="宋体" w:cs="宋体"/>
          <w:sz w:val="24"/>
          <w:szCs w:val="24"/>
        </w:rPr>
        <w:t>2.2.2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、养护（包含薄膜）、运输至现场及安装就位。</w:t>
      </w:r>
    </w:p>
    <w:p w14:paraId="5668531F">
      <w:pPr>
        <w:spacing w:line="360" w:lineRule="auto"/>
        <w:ind w:firstLine="480" w:firstLineChars="200"/>
        <w:rPr>
          <w:rFonts w:hint="eastAsia" w:ascii="宋体" w:hAnsi="宋体" w:cs="宋体"/>
          <w:sz w:val="24"/>
          <w:szCs w:val="24"/>
        </w:rPr>
      </w:pPr>
      <w:r>
        <w:rPr>
          <w:rFonts w:hint="eastAsia" w:ascii="宋体" w:hAnsi="宋体" w:cs="宋体"/>
          <w:sz w:val="24"/>
          <w:szCs w:val="24"/>
        </w:rPr>
        <w:t>2.2.3钢筋工程作业：包括盖板涵等结构物所需的钢筋放样、制作、调直、焊接、绑扎、安装及现场转运等。</w:t>
      </w:r>
    </w:p>
    <w:p w14:paraId="7B49A785">
      <w:pPr>
        <w:spacing w:line="360" w:lineRule="auto"/>
        <w:ind w:firstLine="480" w:firstLineChars="200"/>
        <w:rPr>
          <w:rFonts w:hint="eastAsia" w:ascii="宋体" w:hAnsi="宋体" w:cs="宋体"/>
          <w:sz w:val="24"/>
          <w:szCs w:val="24"/>
        </w:rPr>
      </w:pPr>
      <w:r>
        <w:rPr>
          <w:rFonts w:hint="eastAsia" w:ascii="宋体" w:hAnsi="宋体" w:cs="宋体"/>
          <w:sz w:val="24"/>
          <w:szCs w:val="24"/>
        </w:rPr>
        <w:t>2.2.4 盲沟工程作业：包括图纸所示碎石盲沟的基坑开挖后基底处理、碎石回填、渗水土工布铺设等。</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2.2.5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3、工程地点：云南省普洱市墨江县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Arial"/>
          <w:b/>
          <w:bCs/>
          <w:color w:val="000000"/>
          <w:kern w:val="0"/>
          <w:sz w:val="24"/>
          <w:szCs w:val="24"/>
          <w:u w:val="single"/>
        </w:rPr>
        <w:t xml:space="preserve"> </w:t>
      </w:r>
      <w:r>
        <w:rPr>
          <w:rFonts w:hint="eastAsia" w:ascii="宋体" w:hAnsi="宋体" w:cs="Arial"/>
          <w:b/>
          <w:bCs/>
          <w:color w:val="000000"/>
          <w:kern w:val="0"/>
          <w:sz w:val="24"/>
          <w:szCs w:val="24"/>
          <w:u w:val="single"/>
          <w:lang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致：中路建设（云南）有限公司墨江分公司</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K3+746~K8+010段段 防护排水工程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我公司承诺非我公司原因影响工期累计不超过五天（含五天），结构交付时间不变。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rPr>
        <w:t>中路建设（云南）有限公司墨江分公</w:t>
      </w:r>
      <w:r>
        <w:rPr>
          <w:rFonts w:hint="eastAsia"/>
          <w:b/>
          <w:bCs/>
          <w:sz w:val="24"/>
          <w:szCs w:val="24"/>
        </w:rPr>
        <w:t>司（简称甲方）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6827C032">
            <w:pPr>
              <w:adjustRightInd w:val="0"/>
              <w:spacing w:line="360" w:lineRule="auto"/>
              <w:contextualSpacing/>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资质等级：/</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证书有效期：/</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338AFBC6">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延期核准期限：/</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发证时间：/</w:t>
            </w:r>
          </w:p>
        </w:tc>
        <w:tc>
          <w:tcPr>
            <w:tcW w:w="3608" w:type="dxa"/>
            <w:vAlign w:val="center"/>
          </w:tcPr>
          <w:p w14:paraId="292F702A">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延期核准机关：/</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eastAsia" w:ascii="宋体" w:hAnsi="宋体"/>
                <w:color w:val="000000"/>
                <w:sz w:val="24"/>
                <w:szCs w:val="24"/>
                <w:highlight w:val="yellow"/>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r>
              <w:rPr>
                <w:rFonts w:hint="eastAsia" w:ascii="宋体" w:hAnsi="宋体"/>
                <w:color w:val="000000"/>
                <w:sz w:val="24"/>
                <w:szCs w:val="24"/>
                <w:highlight w:val="yellow"/>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 xml:space="preserve">：云南省普洱市墨江县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等主要材料至现场，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6E55FCAD">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3CB6172">
      <w:pPr>
        <w:spacing w:line="360" w:lineRule="auto"/>
        <w:ind w:firstLine="480" w:firstLineChars="200"/>
        <w:rPr>
          <w:rFonts w:hint="eastAsia" w:ascii="宋体" w:hAnsi="宋体" w:cs="宋体"/>
          <w:sz w:val="24"/>
          <w:szCs w:val="24"/>
        </w:rPr>
      </w:pPr>
      <w:r>
        <w:rPr>
          <w:rFonts w:hint="eastAsia" w:ascii="宋体" w:hAnsi="宋体" w:cs="宋体"/>
          <w:sz w:val="24"/>
          <w:szCs w:val="24"/>
        </w:rPr>
        <w:t>5.1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5C664221">
      <w:pPr>
        <w:spacing w:line="360" w:lineRule="auto"/>
        <w:ind w:firstLine="480" w:firstLineChars="200"/>
        <w:rPr>
          <w:rFonts w:hint="eastAsia" w:ascii="宋体" w:hAnsi="宋体" w:cs="宋体"/>
          <w:sz w:val="24"/>
          <w:szCs w:val="24"/>
        </w:rPr>
      </w:pPr>
      <w:r>
        <w:rPr>
          <w:rFonts w:hint="eastAsia" w:ascii="宋体" w:hAnsi="宋体" w:cs="宋体"/>
          <w:sz w:val="24"/>
          <w:szCs w:val="24"/>
        </w:rPr>
        <w:t>5.2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、养护（包含薄膜）（包含薄膜）、运输至现场及安装就位。</w:t>
      </w:r>
    </w:p>
    <w:p w14:paraId="5A03E598">
      <w:pPr>
        <w:spacing w:line="360" w:lineRule="auto"/>
        <w:ind w:firstLine="480" w:firstLineChars="200"/>
        <w:rPr>
          <w:rFonts w:hint="eastAsia" w:ascii="宋体" w:hAnsi="宋体" w:cs="宋体"/>
          <w:sz w:val="24"/>
          <w:szCs w:val="24"/>
        </w:rPr>
      </w:pPr>
      <w:r>
        <w:rPr>
          <w:rFonts w:hint="eastAsia" w:ascii="宋体" w:hAnsi="宋体" w:cs="宋体"/>
          <w:sz w:val="24"/>
          <w:szCs w:val="24"/>
        </w:rPr>
        <w:t>5.3钢筋工程作业：包括盖板涵等结构物所需的钢筋放样、制作、调直、焊接、绑扎、安装及现场转运等。</w:t>
      </w:r>
    </w:p>
    <w:p w14:paraId="628BF0DA">
      <w:pPr>
        <w:spacing w:line="360" w:lineRule="auto"/>
        <w:ind w:firstLine="480" w:firstLineChars="200"/>
        <w:rPr>
          <w:rFonts w:hint="eastAsia" w:ascii="宋体" w:hAnsi="宋体" w:cs="宋体"/>
          <w:sz w:val="24"/>
          <w:szCs w:val="24"/>
        </w:rPr>
      </w:pPr>
      <w:r>
        <w:rPr>
          <w:rFonts w:hint="eastAsia" w:ascii="宋体" w:hAnsi="宋体" w:cs="宋体"/>
          <w:sz w:val="24"/>
          <w:szCs w:val="24"/>
        </w:rPr>
        <w:t>5.4 盲沟工程作业：包括图纸所示碎石盲沟的基坑开挖、基底处理、碎石回填、渗水土工布铺设等。</w:t>
      </w:r>
    </w:p>
    <w:p w14:paraId="2DA3C5F8">
      <w:pPr>
        <w:spacing w:line="360" w:lineRule="auto"/>
        <w:ind w:firstLine="480" w:firstLineChars="200"/>
        <w:rPr>
          <w:rFonts w:hint="eastAsia" w:ascii="宋体" w:hAnsi="宋体"/>
          <w:sz w:val="24"/>
          <w:szCs w:val="24"/>
          <w:u w:val="single"/>
        </w:rPr>
      </w:pPr>
      <w:r>
        <w:rPr>
          <w:rFonts w:hint="eastAsia" w:ascii="宋体" w:hAnsi="宋体" w:cs="宋体"/>
          <w:sz w:val="24"/>
          <w:szCs w:val="24"/>
        </w:rPr>
        <w:t>5.5 措施项目作业：为完成上述工程所必需的临时设施搭建、混凝土浇灌运输道搭拆、安全文明施工、场地清理、材料保管及所有辅助工作。</w:t>
      </w:r>
    </w:p>
    <w:p w14:paraId="7EEE8EB6">
      <w:pPr>
        <w:rPr>
          <w:rFonts w:hint="eastAsia" w:ascii="宋体" w:hAnsi="宋体" w:cs="宋体"/>
          <w:b/>
          <w:bCs/>
          <w:kern w:val="44"/>
          <w:sz w:val="28"/>
          <w:szCs w:val="28"/>
        </w:rPr>
      </w:pPr>
    </w:p>
    <w:p w14:paraId="48A9882F">
      <w:pPr>
        <w:rPr>
          <w:rFonts w:hint="eastAsia" w:ascii="宋体" w:hAnsi="宋体" w:cs="宋体"/>
          <w:b/>
          <w:bCs/>
          <w:kern w:val="44"/>
          <w:sz w:val="28"/>
          <w:szCs w:val="28"/>
        </w:rPr>
      </w:pPr>
    </w:p>
    <w:p w14:paraId="553EF0EF">
      <w:pPr>
        <w:rPr>
          <w:rFonts w:hint="eastAsia" w:ascii="宋体" w:hAnsi="宋体" w:cs="宋体"/>
          <w:b/>
          <w:bCs/>
          <w:kern w:val="44"/>
          <w:sz w:val="28"/>
          <w:szCs w:val="28"/>
        </w:rPr>
      </w:pP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rPr>
        <w:t xml:space="preserve"> </w:t>
      </w:r>
      <w:r>
        <w:rPr>
          <w:rFonts w:hint="eastAsia" w:ascii="宋体" w:hAnsi="宋体" w:cs="Arial"/>
          <w:b/>
          <w:bCs/>
          <w:color w:val="000000"/>
          <w:kern w:val="0"/>
          <w:sz w:val="24"/>
          <w:szCs w:val="24"/>
          <w:highlight w:val="yellow"/>
          <w:u w:val="single"/>
          <w:lang w:eastAsia="zh-CN"/>
        </w:rPr>
        <w:t>***</w:t>
      </w:r>
      <w:r>
        <w:rPr>
          <w:rFonts w:hint="eastAsia" w:ascii="宋体" w:hAnsi="宋体" w:cs="Arial"/>
          <w:b/>
          <w:bCs/>
          <w:color w:val="000000"/>
          <w:kern w:val="0"/>
          <w:sz w:val="24"/>
          <w:szCs w:val="24"/>
          <w:highlight w:val="yellow"/>
          <w:u w:val="single"/>
        </w:rPr>
        <w:t xml:space="preserve"> </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14574" w:type="dxa"/>
        <w:tblInd w:w="100" w:type="dxa"/>
        <w:tblLayout w:type="fixed"/>
        <w:tblCellMar>
          <w:top w:w="0" w:type="dxa"/>
          <w:left w:w="108" w:type="dxa"/>
          <w:bottom w:w="0" w:type="dxa"/>
          <w:right w:w="108" w:type="dxa"/>
        </w:tblCellMar>
      </w:tblPr>
      <w:tblGrid>
        <w:gridCol w:w="376"/>
        <w:gridCol w:w="648"/>
        <w:gridCol w:w="750"/>
        <w:gridCol w:w="356"/>
        <w:gridCol w:w="2644"/>
        <w:gridCol w:w="844"/>
        <w:gridCol w:w="362"/>
        <w:gridCol w:w="419"/>
        <w:gridCol w:w="944"/>
        <w:gridCol w:w="487"/>
        <w:gridCol w:w="775"/>
        <w:gridCol w:w="707"/>
        <w:gridCol w:w="987"/>
        <w:gridCol w:w="444"/>
        <w:gridCol w:w="594"/>
        <w:gridCol w:w="856"/>
        <w:gridCol w:w="712"/>
        <w:gridCol w:w="982"/>
        <w:gridCol w:w="687"/>
      </w:tblGrid>
      <w:tr w14:paraId="0931F93D">
        <w:tblPrEx>
          <w:tblCellMar>
            <w:top w:w="0" w:type="dxa"/>
            <w:left w:w="108" w:type="dxa"/>
            <w:bottom w:w="0" w:type="dxa"/>
            <w:right w:w="108" w:type="dxa"/>
          </w:tblCellMar>
        </w:tblPrEx>
        <w:trPr>
          <w:trHeight w:val="560" w:hRule="atLeast"/>
        </w:trPr>
        <w:tc>
          <w:tcPr>
            <w:tcW w:w="14574" w:type="dxa"/>
            <w:gridSpan w:val="19"/>
            <w:tcBorders>
              <w:top w:val="nil"/>
              <w:left w:val="nil"/>
              <w:bottom w:val="nil"/>
              <w:right w:val="nil"/>
            </w:tcBorders>
            <w:vAlign w:val="center"/>
          </w:tcPr>
          <w:p w14:paraId="0488A516">
            <w:pPr>
              <w:widowControl/>
              <w:jc w:val="center"/>
              <w:textAlignment w:val="center"/>
              <w:rPr>
                <w:rFonts w:hint="eastAsia" w:ascii="宋体" w:hAnsi="宋体" w:cs="宋体"/>
                <w:b/>
                <w:bCs/>
                <w:color w:val="auto"/>
                <w:sz w:val="32"/>
                <w:szCs w:val="32"/>
              </w:rPr>
            </w:pPr>
            <w:r>
              <w:rPr>
                <w:rFonts w:hint="eastAsia" w:ascii="宋体" w:hAnsi="宋体" w:cs="宋体"/>
                <w:b/>
                <w:bCs/>
                <w:color w:val="auto"/>
                <w:kern w:val="0"/>
                <w:sz w:val="32"/>
                <w:szCs w:val="32"/>
                <w:lang w:bidi="ar"/>
              </w:rPr>
              <w:t xml:space="preserve">墨江县乡(镇)通三级公路建设项目坝溜公路 </w:t>
            </w:r>
            <w:r>
              <w:rPr>
                <w:rFonts w:hint="eastAsia" w:ascii="宋体" w:hAnsi="宋体" w:cs="宋体"/>
                <w:b/>
                <w:bCs/>
                <w:color w:val="auto"/>
                <w:kern w:val="0"/>
                <w:sz w:val="32"/>
                <w:szCs w:val="32"/>
                <w:lang w:eastAsia="zh-CN" w:bidi="ar"/>
              </w:rPr>
              <w:t>K3+746~K8+010段</w:t>
            </w:r>
            <w:r>
              <w:rPr>
                <w:rFonts w:hint="eastAsia" w:ascii="宋体" w:hAnsi="宋体" w:cs="宋体"/>
                <w:b/>
                <w:bCs/>
                <w:color w:val="auto"/>
                <w:kern w:val="0"/>
                <w:sz w:val="32"/>
                <w:szCs w:val="32"/>
                <w:lang w:bidi="ar"/>
              </w:rPr>
              <w:t>段 防护排水工程量清单</w:t>
            </w:r>
          </w:p>
        </w:tc>
      </w:tr>
      <w:tr w14:paraId="1449584E">
        <w:tblPrEx>
          <w:tblCellMar>
            <w:top w:w="0" w:type="dxa"/>
            <w:left w:w="108" w:type="dxa"/>
            <w:bottom w:w="0" w:type="dxa"/>
            <w:right w:w="108" w:type="dxa"/>
          </w:tblCellMar>
        </w:tblPrEx>
        <w:trPr>
          <w:trHeight w:val="420" w:hRule="atLeast"/>
        </w:trPr>
        <w:tc>
          <w:tcPr>
            <w:tcW w:w="14574" w:type="dxa"/>
            <w:gridSpan w:val="19"/>
            <w:tcBorders>
              <w:top w:val="single" w:color="000000" w:sz="4" w:space="0"/>
              <w:left w:val="single" w:color="000000" w:sz="4" w:space="0"/>
              <w:bottom w:val="single" w:color="000000" w:sz="4" w:space="0"/>
              <w:right w:val="single" w:color="000000" w:sz="4" w:space="0"/>
            </w:tcBorders>
            <w:vAlign w:val="center"/>
          </w:tcPr>
          <w:p w14:paraId="5D334E22">
            <w:pPr>
              <w:widowControl/>
              <w:jc w:val="left"/>
              <w:textAlignment w:val="center"/>
              <w:rPr>
                <w:rFonts w:hint="eastAsia" w:ascii="宋体" w:hAnsi="宋体" w:cs="宋体"/>
                <w:b/>
                <w:bCs/>
                <w:color w:val="auto"/>
                <w:sz w:val="24"/>
                <w:szCs w:val="24"/>
              </w:rPr>
            </w:pPr>
            <w:r>
              <w:rPr>
                <w:rFonts w:hint="eastAsia" w:ascii="宋体" w:hAnsi="宋体" w:cs="宋体"/>
                <w:b/>
                <w:bCs/>
                <w:color w:val="auto"/>
                <w:kern w:val="0"/>
                <w:sz w:val="24"/>
                <w:szCs w:val="24"/>
                <w:lang w:bidi="ar"/>
              </w:rPr>
              <w:t>工程名称：墨江县乡(镇)通三级公路建设项目坝溜公路KO+000～K30+558(泗南江至坝溜段)</w:t>
            </w:r>
          </w:p>
        </w:tc>
      </w:tr>
      <w:tr w14:paraId="32487E91">
        <w:tblPrEx>
          <w:tblCellMar>
            <w:top w:w="0" w:type="dxa"/>
            <w:left w:w="108" w:type="dxa"/>
            <w:bottom w:w="0" w:type="dxa"/>
            <w:right w:w="108" w:type="dxa"/>
          </w:tblCellMar>
        </w:tblPrEx>
        <w:trPr>
          <w:trHeight w:val="500" w:hRule="atLeast"/>
        </w:trPr>
        <w:tc>
          <w:tcPr>
            <w:tcW w:w="376" w:type="dxa"/>
            <w:vMerge w:val="restart"/>
            <w:tcBorders>
              <w:top w:val="single" w:color="000000" w:sz="4" w:space="0"/>
              <w:left w:val="single" w:color="000000" w:sz="4" w:space="0"/>
              <w:bottom w:val="single" w:color="000000" w:sz="4" w:space="0"/>
              <w:right w:val="single" w:color="000000" w:sz="4" w:space="0"/>
            </w:tcBorders>
            <w:vAlign w:val="center"/>
          </w:tcPr>
          <w:p w14:paraId="5CCD55A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序号</w:t>
            </w:r>
          </w:p>
        </w:tc>
        <w:tc>
          <w:tcPr>
            <w:tcW w:w="648" w:type="dxa"/>
            <w:vMerge w:val="restart"/>
            <w:tcBorders>
              <w:top w:val="single" w:color="000000" w:sz="4" w:space="0"/>
              <w:left w:val="single" w:color="000000" w:sz="4" w:space="0"/>
              <w:bottom w:val="single" w:color="000000" w:sz="4" w:space="0"/>
              <w:right w:val="single" w:color="000000" w:sz="4" w:space="0"/>
            </w:tcBorders>
            <w:vAlign w:val="center"/>
          </w:tcPr>
          <w:p w14:paraId="4C5C56D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项目编号</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0D7C482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分项名称</w:t>
            </w:r>
          </w:p>
        </w:tc>
        <w:tc>
          <w:tcPr>
            <w:tcW w:w="356" w:type="dxa"/>
            <w:vMerge w:val="restart"/>
            <w:tcBorders>
              <w:top w:val="single" w:color="000000" w:sz="4" w:space="0"/>
              <w:left w:val="single" w:color="000000" w:sz="4" w:space="0"/>
              <w:bottom w:val="single" w:color="000000" w:sz="4" w:space="0"/>
              <w:right w:val="single" w:color="000000" w:sz="4" w:space="0"/>
            </w:tcBorders>
            <w:vAlign w:val="center"/>
          </w:tcPr>
          <w:p w14:paraId="73E8D60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施工部位</w:t>
            </w:r>
          </w:p>
        </w:tc>
        <w:tc>
          <w:tcPr>
            <w:tcW w:w="2644" w:type="dxa"/>
            <w:vMerge w:val="restart"/>
            <w:tcBorders>
              <w:top w:val="single" w:color="000000" w:sz="4" w:space="0"/>
              <w:left w:val="single" w:color="000000" w:sz="4" w:space="0"/>
              <w:bottom w:val="single" w:color="000000" w:sz="4" w:space="0"/>
              <w:right w:val="single" w:color="000000" w:sz="4" w:space="0"/>
            </w:tcBorders>
            <w:vAlign w:val="center"/>
          </w:tcPr>
          <w:p w14:paraId="4667F74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工作内容</w:t>
            </w:r>
          </w:p>
        </w:tc>
        <w:tc>
          <w:tcPr>
            <w:tcW w:w="844" w:type="dxa"/>
            <w:vMerge w:val="restart"/>
            <w:tcBorders>
              <w:top w:val="single" w:color="000000" w:sz="4" w:space="0"/>
              <w:left w:val="single" w:color="000000" w:sz="4" w:space="0"/>
              <w:bottom w:val="single" w:color="000000" w:sz="4" w:space="0"/>
              <w:right w:val="single" w:color="000000" w:sz="4" w:space="0"/>
            </w:tcBorders>
            <w:vAlign w:val="center"/>
          </w:tcPr>
          <w:p w14:paraId="1D85465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计量规则</w:t>
            </w:r>
          </w:p>
        </w:tc>
        <w:tc>
          <w:tcPr>
            <w:tcW w:w="362" w:type="dxa"/>
            <w:vMerge w:val="restart"/>
            <w:tcBorders>
              <w:top w:val="single" w:color="000000" w:sz="4" w:space="0"/>
              <w:left w:val="single" w:color="000000" w:sz="4" w:space="0"/>
              <w:bottom w:val="single" w:color="000000" w:sz="4" w:space="0"/>
              <w:right w:val="single" w:color="000000" w:sz="4" w:space="0"/>
            </w:tcBorders>
            <w:vAlign w:val="center"/>
          </w:tcPr>
          <w:p w14:paraId="1CE752C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p>
        </w:tc>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715EEBA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损耗率</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6183B70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乙方自带</w:t>
            </w:r>
          </w:p>
        </w:tc>
        <w:tc>
          <w:tcPr>
            <w:tcW w:w="487" w:type="dxa"/>
            <w:vMerge w:val="restart"/>
            <w:tcBorders>
              <w:top w:val="single" w:color="000000" w:sz="4" w:space="0"/>
              <w:left w:val="single" w:color="000000" w:sz="4" w:space="0"/>
              <w:bottom w:val="single" w:color="000000" w:sz="4" w:space="0"/>
              <w:right w:val="single" w:color="000000" w:sz="4" w:space="0"/>
            </w:tcBorders>
            <w:vAlign w:val="center"/>
          </w:tcPr>
          <w:p w14:paraId="151101C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单位</w:t>
            </w:r>
          </w:p>
        </w:tc>
        <w:tc>
          <w:tcPr>
            <w:tcW w:w="775" w:type="dxa"/>
            <w:vMerge w:val="restart"/>
            <w:tcBorders>
              <w:top w:val="single" w:color="000000" w:sz="4" w:space="0"/>
              <w:left w:val="single" w:color="000000" w:sz="4" w:space="0"/>
              <w:bottom w:val="single" w:color="000000" w:sz="4" w:space="0"/>
              <w:right w:val="single" w:color="000000" w:sz="4" w:space="0"/>
            </w:tcBorders>
            <w:vAlign w:val="center"/>
          </w:tcPr>
          <w:p w14:paraId="487DE34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暂估工程量</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20859056">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不含税金额</w:t>
            </w:r>
          </w:p>
        </w:tc>
        <w:tc>
          <w:tcPr>
            <w:tcW w:w="444" w:type="dxa"/>
            <w:vMerge w:val="restart"/>
            <w:tcBorders>
              <w:top w:val="single" w:color="000000" w:sz="4" w:space="0"/>
              <w:left w:val="single" w:color="000000" w:sz="4" w:space="0"/>
              <w:bottom w:val="single" w:color="000000" w:sz="4" w:space="0"/>
              <w:right w:val="single" w:color="000000" w:sz="4" w:space="0"/>
            </w:tcBorders>
            <w:vAlign w:val="center"/>
          </w:tcPr>
          <w:p w14:paraId="3EFEEFC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税率</w:t>
            </w:r>
          </w:p>
        </w:tc>
        <w:tc>
          <w:tcPr>
            <w:tcW w:w="1450" w:type="dxa"/>
            <w:gridSpan w:val="2"/>
            <w:tcBorders>
              <w:top w:val="single" w:color="000000" w:sz="4" w:space="0"/>
              <w:left w:val="single" w:color="000000" w:sz="4" w:space="0"/>
              <w:bottom w:val="single" w:color="000000" w:sz="4" w:space="0"/>
              <w:right w:val="single" w:color="000000" w:sz="4" w:space="0"/>
            </w:tcBorders>
            <w:vAlign w:val="center"/>
          </w:tcPr>
          <w:p w14:paraId="5541C2D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税额</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56DD981D">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价税合计</w:t>
            </w:r>
          </w:p>
        </w:tc>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0E2165B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备注</w:t>
            </w:r>
          </w:p>
        </w:tc>
      </w:tr>
      <w:tr w14:paraId="2D1C4EFA">
        <w:tblPrEx>
          <w:tblCellMar>
            <w:top w:w="0" w:type="dxa"/>
            <w:left w:w="108" w:type="dxa"/>
            <w:bottom w:w="0" w:type="dxa"/>
            <w:right w:w="108" w:type="dxa"/>
          </w:tblCellMar>
        </w:tblPrEx>
        <w:trPr>
          <w:trHeight w:val="420" w:hRule="atLeast"/>
        </w:trPr>
        <w:tc>
          <w:tcPr>
            <w:tcW w:w="376" w:type="dxa"/>
            <w:vMerge w:val="continue"/>
            <w:tcBorders>
              <w:top w:val="single" w:color="000000" w:sz="4" w:space="0"/>
              <w:left w:val="single" w:color="000000" w:sz="4" w:space="0"/>
              <w:bottom w:val="single" w:color="000000" w:sz="4" w:space="0"/>
              <w:right w:val="single" w:color="000000" w:sz="4" w:space="0"/>
            </w:tcBorders>
            <w:vAlign w:val="center"/>
          </w:tcPr>
          <w:p w14:paraId="222C4D08">
            <w:pPr>
              <w:jc w:val="center"/>
              <w:rPr>
                <w:rFonts w:hint="eastAsia" w:ascii="宋体" w:hAnsi="宋体" w:cs="宋体"/>
                <w:color w:val="auto"/>
                <w:sz w:val="16"/>
                <w:szCs w:val="16"/>
              </w:rPr>
            </w:pPr>
          </w:p>
        </w:tc>
        <w:tc>
          <w:tcPr>
            <w:tcW w:w="648" w:type="dxa"/>
            <w:vMerge w:val="continue"/>
            <w:tcBorders>
              <w:top w:val="single" w:color="000000" w:sz="4" w:space="0"/>
              <w:left w:val="single" w:color="000000" w:sz="4" w:space="0"/>
              <w:bottom w:val="single" w:color="000000" w:sz="4" w:space="0"/>
              <w:right w:val="single" w:color="000000" w:sz="4" w:space="0"/>
            </w:tcBorders>
            <w:vAlign w:val="center"/>
          </w:tcPr>
          <w:p w14:paraId="1893E2E8">
            <w:pPr>
              <w:jc w:val="center"/>
              <w:rPr>
                <w:rFonts w:hint="eastAsia" w:ascii="宋体" w:hAnsi="宋体" w:cs="宋体"/>
                <w:color w:val="auto"/>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7C749E31">
            <w:pPr>
              <w:jc w:val="center"/>
              <w:rPr>
                <w:rFonts w:hint="eastAsia" w:ascii="宋体" w:hAnsi="宋体" w:cs="宋体"/>
                <w:color w:val="auto"/>
                <w:sz w:val="16"/>
                <w:szCs w:val="16"/>
              </w:rPr>
            </w:pPr>
          </w:p>
        </w:tc>
        <w:tc>
          <w:tcPr>
            <w:tcW w:w="356" w:type="dxa"/>
            <w:vMerge w:val="continue"/>
            <w:tcBorders>
              <w:top w:val="single" w:color="000000" w:sz="4" w:space="0"/>
              <w:left w:val="single" w:color="000000" w:sz="4" w:space="0"/>
              <w:bottom w:val="single" w:color="000000" w:sz="4" w:space="0"/>
              <w:right w:val="single" w:color="000000" w:sz="4" w:space="0"/>
            </w:tcBorders>
            <w:vAlign w:val="center"/>
          </w:tcPr>
          <w:p w14:paraId="20E5BBAF">
            <w:pPr>
              <w:jc w:val="center"/>
              <w:rPr>
                <w:rFonts w:hint="eastAsia" w:ascii="宋体" w:hAnsi="宋体" w:cs="宋体"/>
                <w:color w:val="auto"/>
                <w:sz w:val="16"/>
                <w:szCs w:val="16"/>
              </w:rPr>
            </w:pPr>
          </w:p>
        </w:tc>
        <w:tc>
          <w:tcPr>
            <w:tcW w:w="2644" w:type="dxa"/>
            <w:vMerge w:val="continue"/>
            <w:tcBorders>
              <w:top w:val="single" w:color="000000" w:sz="4" w:space="0"/>
              <w:left w:val="single" w:color="000000" w:sz="4" w:space="0"/>
              <w:bottom w:val="single" w:color="000000" w:sz="4" w:space="0"/>
              <w:right w:val="single" w:color="000000" w:sz="4" w:space="0"/>
            </w:tcBorders>
            <w:vAlign w:val="center"/>
          </w:tcPr>
          <w:p w14:paraId="285DE20C">
            <w:pPr>
              <w:jc w:val="center"/>
              <w:rPr>
                <w:rFonts w:hint="eastAsia" w:ascii="宋体" w:hAnsi="宋体" w:cs="宋体"/>
                <w:color w:val="auto"/>
                <w:sz w:val="16"/>
                <w:szCs w:val="16"/>
              </w:rPr>
            </w:pPr>
          </w:p>
        </w:tc>
        <w:tc>
          <w:tcPr>
            <w:tcW w:w="844" w:type="dxa"/>
            <w:vMerge w:val="continue"/>
            <w:tcBorders>
              <w:top w:val="single" w:color="000000" w:sz="4" w:space="0"/>
              <w:left w:val="single" w:color="000000" w:sz="4" w:space="0"/>
              <w:bottom w:val="single" w:color="000000" w:sz="4" w:space="0"/>
              <w:right w:val="single" w:color="000000" w:sz="4" w:space="0"/>
            </w:tcBorders>
            <w:vAlign w:val="center"/>
          </w:tcPr>
          <w:p w14:paraId="34B5A60D">
            <w:pPr>
              <w:jc w:val="center"/>
              <w:rPr>
                <w:rFonts w:hint="eastAsia" w:ascii="宋体" w:hAnsi="宋体" w:cs="宋体"/>
                <w:color w:val="auto"/>
                <w:sz w:val="16"/>
                <w:szCs w:val="16"/>
              </w:rPr>
            </w:pPr>
          </w:p>
        </w:tc>
        <w:tc>
          <w:tcPr>
            <w:tcW w:w="362" w:type="dxa"/>
            <w:vMerge w:val="continue"/>
            <w:tcBorders>
              <w:top w:val="single" w:color="000000" w:sz="4" w:space="0"/>
              <w:left w:val="single" w:color="000000" w:sz="4" w:space="0"/>
              <w:bottom w:val="single" w:color="000000" w:sz="4" w:space="0"/>
              <w:right w:val="single" w:color="000000" w:sz="4" w:space="0"/>
            </w:tcBorders>
            <w:vAlign w:val="center"/>
          </w:tcPr>
          <w:p w14:paraId="37B00356">
            <w:pPr>
              <w:jc w:val="center"/>
              <w:rPr>
                <w:rFonts w:hint="eastAsia" w:ascii="宋体" w:hAnsi="宋体" w:cs="宋体"/>
                <w:color w:val="auto"/>
                <w:sz w:val="16"/>
                <w:szCs w:val="16"/>
              </w:rPr>
            </w:pPr>
          </w:p>
        </w:tc>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767CC013">
            <w:pPr>
              <w:jc w:val="center"/>
              <w:rPr>
                <w:rFonts w:hint="eastAsia" w:ascii="宋体" w:hAnsi="宋体" w:cs="宋体"/>
                <w:color w:val="auto"/>
                <w:sz w:val="16"/>
                <w:szCs w:val="16"/>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2AE17DD5">
            <w:pPr>
              <w:jc w:val="center"/>
              <w:rPr>
                <w:rFonts w:hint="eastAsia" w:ascii="宋体" w:hAnsi="宋体" w:cs="宋体"/>
                <w:color w:val="auto"/>
                <w:sz w:val="16"/>
                <w:szCs w:val="16"/>
              </w:rPr>
            </w:pPr>
          </w:p>
        </w:tc>
        <w:tc>
          <w:tcPr>
            <w:tcW w:w="487" w:type="dxa"/>
            <w:vMerge w:val="continue"/>
            <w:tcBorders>
              <w:top w:val="single" w:color="000000" w:sz="4" w:space="0"/>
              <w:left w:val="single" w:color="000000" w:sz="4" w:space="0"/>
              <w:bottom w:val="single" w:color="000000" w:sz="4" w:space="0"/>
              <w:right w:val="single" w:color="000000" w:sz="4" w:space="0"/>
            </w:tcBorders>
            <w:vAlign w:val="center"/>
          </w:tcPr>
          <w:p w14:paraId="27A521A2">
            <w:pPr>
              <w:jc w:val="center"/>
              <w:rPr>
                <w:rFonts w:hint="eastAsia" w:ascii="宋体" w:hAnsi="宋体" w:cs="宋体"/>
                <w:color w:val="auto"/>
                <w:sz w:val="16"/>
                <w:szCs w:val="16"/>
              </w:rPr>
            </w:pPr>
          </w:p>
        </w:tc>
        <w:tc>
          <w:tcPr>
            <w:tcW w:w="775" w:type="dxa"/>
            <w:vMerge w:val="continue"/>
            <w:tcBorders>
              <w:top w:val="single" w:color="000000" w:sz="4" w:space="0"/>
              <w:left w:val="single" w:color="000000" w:sz="4" w:space="0"/>
              <w:bottom w:val="single" w:color="000000" w:sz="4" w:space="0"/>
              <w:right w:val="single" w:color="000000" w:sz="4" w:space="0"/>
            </w:tcBorders>
            <w:vAlign w:val="center"/>
          </w:tcPr>
          <w:p w14:paraId="050801BF">
            <w:pPr>
              <w:jc w:val="center"/>
              <w:rPr>
                <w:rFonts w:hint="eastAsia" w:ascii="宋体" w:hAnsi="宋体" w:cs="宋体"/>
                <w:color w:val="auto"/>
                <w:sz w:val="16"/>
                <w:szCs w:val="16"/>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1F37B13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7" w:type="dxa"/>
            <w:tcBorders>
              <w:top w:val="single" w:color="000000" w:sz="4" w:space="0"/>
              <w:left w:val="single" w:color="000000" w:sz="4" w:space="0"/>
              <w:bottom w:val="single" w:color="000000" w:sz="4" w:space="0"/>
              <w:right w:val="single" w:color="000000" w:sz="4" w:space="0"/>
            </w:tcBorders>
            <w:vAlign w:val="center"/>
          </w:tcPr>
          <w:p w14:paraId="369640A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444" w:type="dxa"/>
            <w:vMerge w:val="continue"/>
            <w:tcBorders>
              <w:top w:val="single" w:color="000000" w:sz="4" w:space="0"/>
              <w:left w:val="single" w:color="000000" w:sz="4" w:space="0"/>
              <w:bottom w:val="single" w:color="000000" w:sz="4" w:space="0"/>
              <w:right w:val="single" w:color="000000" w:sz="4" w:space="0"/>
            </w:tcBorders>
            <w:vAlign w:val="center"/>
          </w:tcPr>
          <w:p w14:paraId="3D3A3C6D">
            <w:pPr>
              <w:jc w:val="center"/>
              <w:rPr>
                <w:rFonts w:hint="eastAsia" w:ascii="宋体" w:hAnsi="宋体" w:cs="宋体"/>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E2CF690">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856" w:type="dxa"/>
            <w:tcBorders>
              <w:top w:val="single" w:color="000000" w:sz="4" w:space="0"/>
              <w:left w:val="single" w:color="000000" w:sz="4" w:space="0"/>
              <w:bottom w:val="single" w:color="000000" w:sz="4" w:space="0"/>
              <w:right w:val="single" w:color="000000" w:sz="4" w:space="0"/>
            </w:tcBorders>
            <w:vAlign w:val="center"/>
          </w:tcPr>
          <w:p w14:paraId="1DFBF1C5">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712" w:type="dxa"/>
            <w:tcBorders>
              <w:top w:val="single" w:color="000000" w:sz="4" w:space="0"/>
              <w:left w:val="single" w:color="000000" w:sz="4" w:space="0"/>
              <w:bottom w:val="single" w:color="000000" w:sz="4" w:space="0"/>
              <w:right w:val="single" w:color="000000" w:sz="4" w:space="0"/>
            </w:tcBorders>
            <w:vAlign w:val="center"/>
          </w:tcPr>
          <w:p w14:paraId="6576C4F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2" w:type="dxa"/>
            <w:tcBorders>
              <w:top w:val="single" w:color="000000" w:sz="4" w:space="0"/>
              <w:left w:val="single" w:color="000000" w:sz="4" w:space="0"/>
              <w:bottom w:val="single" w:color="000000" w:sz="4" w:space="0"/>
              <w:right w:val="single" w:color="000000" w:sz="4" w:space="0"/>
            </w:tcBorders>
            <w:vAlign w:val="center"/>
          </w:tcPr>
          <w:p w14:paraId="1870277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687" w:type="dxa"/>
            <w:vMerge w:val="continue"/>
            <w:tcBorders>
              <w:top w:val="single" w:color="000000" w:sz="4" w:space="0"/>
              <w:left w:val="single" w:color="000000" w:sz="4" w:space="0"/>
              <w:bottom w:val="single" w:color="000000" w:sz="4" w:space="0"/>
              <w:right w:val="single" w:color="000000" w:sz="4" w:space="0"/>
            </w:tcBorders>
            <w:vAlign w:val="center"/>
          </w:tcPr>
          <w:p w14:paraId="21A7600B">
            <w:pPr>
              <w:jc w:val="center"/>
              <w:rPr>
                <w:rFonts w:hint="eastAsia" w:ascii="宋体" w:hAnsi="宋体" w:cs="宋体"/>
                <w:color w:val="auto"/>
                <w:sz w:val="16"/>
                <w:szCs w:val="16"/>
              </w:rPr>
            </w:pPr>
          </w:p>
        </w:tc>
      </w:tr>
      <w:tr w14:paraId="69B8F94A">
        <w:tblPrEx>
          <w:tblCellMar>
            <w:top w:w="0" w:type="dxa"/>
            <w:left w:w="108" w:type="dxa"/>
            <w:bottom w:w="0" w:type="dxa"/>
            <w:right w:w="108" w:type="dxa"/>
          </w:tblCellMar>
        </w:tblPrEx>
        <w:trPr>
          <w:trHeight w:val="2835" w:hRule="atLeast"/>
        </w:trPr>
        <w:tc>
          <w:tcPr>
            <w:tcW w:w="376" w:type="dxa"/>
            <w:tcBorders>
              <w:top w:val="single" w:color="000000" w:sz="4" w:space="0"/>
              <w:left w:val="single" w:color="000000" w:sz="4" w:space="0"/>
              <w:bottom w:val="single" w:color="000000" w:sz="4" w:space="0"/>
              <w:right w:val="single" w:color="000000" w:sz="4" w:space="0"/>
            </w:tcBorders>
            <w:vAlign w:val="center"/>
          </w:tcPr>
          <w:p w14:paraId="26F96D5E">
            <w:pPr>
              <w:widowControl/>
              <w:jc w:val="center"/>
              <w:textAlignment w:val="center"/>
              <w:rPr>
                <w:rFonts w:hint="eastAsia" w:ascii="宋体" w:hAnsi="宋体" w:cs="宋体"/>
                <w:color w:val="auto"/>
                <w:kern w:val="0"/>
                <w:sz w:val="16"/>
                <w:szCs w:val="16"/>
                <w:lang w:bidi="ar"/>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5DE5217A">
            <w:pPr>
              <w:widowControl/>
              <w:jc w:val="center"/>
              <w:textAlignment w:val="center"/>
              <w:rPr>
                <w:rFonts w:hint="eastAsia" w:ascii="宋体" w:hAnsi="宋体" w:cs="宋体"/>
                <w:color w:val="auto"/>
                <w:kern w:val="0"/>
                <w:sz w:val="16"/>
                <w:szCs w:val="16"/>
                <w:lang w:bidi="ar"/>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4D84AAA">
            <w:pPr>
              <w:widowControl/>
              <w:jc w:val="center"/>
              <w:textAlignment w:val="center"/>
              <w:rPr>
                <w:rFonts w:hint="eastAsia" w:ascii="宋体" w:hAnsi="宋体" w:cs="宋体"/>
                <w:color w:val="auto"/>
                <w:kern w:val="0"/>
                <w:sz w:val="16"/>
                <w:szCs w:val="16"/>
                <w:lang w:bidi="ar"/>
              </w:rPr>
            </w:pPr>
          </w:p>
        </w:tc>
        <w:tc>
          <w:tcPr>
            <w:tcW w:w="356" w:type="dxa"/>
            <w:tcBorders>
              <w:top w:val="single" w:color="000000" w:sz="4" w:space="0"/>
              <w:left w:val="single" w:color="000000" w:sz="4" w:space="0"/>
              <w:bottom w:val="single" w:color="000000" w:sz="4" w:space="0"/>
              <w:right w:val="single" w:color="000000" w:sz="4" w:space="0"/>
            </w:tcBorders>
            <w:vAlign w:val="center"/>
          </w:tcPr>
          <w:p w14:paraId="17562F09">
            <w:pPr>
              <w:widowControl/>
              <w:jc w:val="center"/>
              <w:textAlignment w:val="center"/>
              <w:rPr>
                <w:rFonts w:hint="eastAsia" w:ascii="宋体" w:hAnsi="宋体" w:cs="宋体"/>
                <w:color w:val="auto"/>
                <w:kern w:val="0"/>
                <w:sz w:val="16"/>
                <w:szCs w:val="16"/>
                <w:lang w:bidi="ar"/>
              </w:rPr>
            </w:pPr>
          </w:p>
        </w:tc>
        <w:tc>
          <w:tcPr>
            <w:tcW w:w="2644" w:type="dxa"/>
            <w:tcBorders>
              <w:top w:val="single" w:color="000000" w:sz="4" w:space="0"/>
              <w:left w:val="single" w:color="000000" w:sz="4" w:space="0"/>
              <w:bottom w:val="single" w:color="000000" w:sz="4" w:space="0"/>
              <w:right w:val="single" w:color="000000" w:sz="4" w:space="0"/>
            </w:tcBorders>
            <w:vAlign w:val="center"/>
          </w:tcPr>
          <w:p w14:paraId="522A7512">
            <w:pPr>
              <w:widowControl/>
              <w:jc w:val="left"/>
              <w:textAlignment w:val="center"/>
              <w:rPr>
                <w:rFonts w:hint="eastAsia" w:ascii="宋体" w:hAnsi="宋体" w:cs="宋体"/>
                <w:color w:val="auto"/>
                <w:kern w:val="0"/>
                <w:sz w:val="16"/>
                <w:szCs w:val="16"/>
                <w:lang w:bidi="ar"/>
              </w:rPr>
            </w:pPr>
          </w:p>
        </w:tc>
        <w:tc>
          <w:tcPr>
            <w:tcW w:w="844" w:type="dxa"/>
            <w:tcBorders>
              <w:top w:val="single" w:color="000000" w:sz="4" w:space="0"/>
              <w:left w:val="single" w:color="000000" w:sz="4" w:space="0"/>
              <w:bottom w:val="single" w:color="000000" w:sz="4" w:space="0"/>
              <w:right w:val="single" w:color="000000" w:sz="4" w:space="0"/>
            </w:tcBorders>
            <w:vAlign w:val="center"/>
          </w:tcPr>
          <w:p w14:paraId="5217F0BF">
            <w:pPr>
              <w:widowControl/>
              <w:jc w:val="center"/>
              <w:textAlignment w:val="center"/>
              <w:rPr>
                <w:rFonts w:hint="eastAsia" w:ascii="宋体" w:hAnsi="宋体" w:cs="宋体"/>
                <w:color w:val="auto"/>
                <w:kern w:val="0"/>
                <w:sz w:val="16"/>
                <w:szCs w:val="16"/>
                <w:lang w:bidi="ar"/>
              </w:rPr>
            </w:pPr>
          </w:p>
        </w:tc>
        <w:tc>
          <w:tcPr>
            <w:tcW w:w="362" w:type="dxa"/>
            <w:tcBorders>
              <w:top w:val="single" w:color="000000" w:sz="4" w:space="0"/>
              <w:left w:val="single" w:color="000000" w:sz="4" w:space="0"/>
              <w:bottom w:val="single" w:color="000000" w:sz="4" w:space="0"/>
              <w:right w:val="single" w:color="000000" w:sz="4" w:space="0"/>
            </w:tcBorders>
            <w:vAlign w:val="center"/>
          </w:tcPr>
          <w:p w14:paraId="1138F73C">
            <w:pPr>
              <w:widowControl/>
              <w:jc w:val="center"/>
              <w:textAlignment w:val="center"/>
              <w:rPr>
                <w:rFonts w:hint="eastAsia" w:ascii="宋体" w:hAnsi="宋体" w:cs="宋体"/>
                <w:color w:val="auto"/>
                <w:kern w:val="0"/>
                <w:sz w:val="16"/>
                <w:szCs w:val="16"/>
                <w:lang w:bidi="ar"/>
              </w:rPr>
            </w:pPr>
          </w:p>
        </w:tc>
        <w:tc>
          <w:tcPr>
            <w:tcW w:w="419" w:type="dxa"/>
            <w:tcBorders>
              <w:top w:val="single" w:color="000000" w:sz="4" w:space="0"/>
              <w:left w:val="single" w:color="000000" w:sz="4" w:space="0"/>
              <w:bottom w:val="single" w:color="000000" w:sz="4" w:space="0"/>
              <w:right w:val="single" w:color="000000" w:sz="4" w:space="0"/>
            </w:tcBorders>
            <w:vAlign w:val="center"/>
          </w:tcPr>
          <w:p w14:paraId="5DE5C9B3">
            <w:pPr>
              <w:widowControl/>
              <w:jc w:val="center"/>
              <w:textAlignment w:val="center"/>
              <w:rPr>
                <w:rFonts w:hint="eastAsia" w:ascii="宋体" w:hAnsi="宋体" w:cs="宋体"/>
                <w:color w:val="auto"/>
                <w:kern w:val="0"/>
                <w:sz w:val="16"/>
                <w:szCs w:val="16"/>
                <w:lang w:bidi="ar"/>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85E54BE">
            <w:pPr>
              <w:widowControl/>
              <w:jc w:val="center"/>
              <w:textAlignment w:val="center"/>
              <w:rPr>
                <w:rFonts w:hint="eastAsia" w:ascii="宋体" w:hAnsi="宋体" w:cs="宋体"/>
                <w:color w:val="auto"/>
                <w:kern w:val="0"/>
                <w:sz w:val="16"/>
                <w:szCs w:val="16"/>
                <w:lang w:bidi="ar"/>
              </w:rPr>
            </w:pPr>
          </w:p>
        </w:tc>
        <w:tc>
          <w:tcPr>
            <w:tcW w:w="487" w:type="dxa"/>
            <w:tcBorders>
              <w:top w:val="single" w:color="000000" w:sz="4" w:space="0"/>
              <w:left w:val="single" w:color="000000" w:sz="4" w:space="0"/>
              <w:bottom w:val="single" w:color="000000" w:sz="4" w:space="0"/>
              <w:right w:val="single" w:color="000000" w:sz="4" w:space="0"/>
            </w:tcBorders>
            <w:vAlign w:val="center"/>
          </w:tcPr>
          <w:p w14:paraId="42724476">
            <w:pPr>
              <w:widowControl/>
              <w:jc w:val="center"/>
              <w:textAlignment w:val="center"/>
              <w:rPr>
                <w:rFonts w:hint="eastAsia" w:ascii="宋体" w:hAnsi="宋体" w:cs="宋体"/>
                <w:color w:val="auto"/>
                <w:kern w:val="0"/>
                <w:sz w:val="16"/>
                <w:szCs w:val="16"/>
                <w:lang w:bidi="ar"/>
              </w:rPr>
            </w:pPr>
          </w:p>
        </w:tc>
        <w:tc>
          <w:tcPr>
            <w:tcW w:w="775" w:type="dxa"/>
            <w:tcBorders>
              <w:top w:val="single" w:color="000000" w:sz="4" w:space="0"/>
              <w:left w:val="single" w:color="000000" w:sz="4" w:space="0"/>
              <w:bottom w:val="single" w:color="000000" w:sz="4" w:space="0"/>
              <w:right w:val="single" w:color="000000" w:sz="4" w:space="0"/>
            </w:tcBorders>
            <w:vAlign w:val="center"/>
          </w:tcPr>
          <w:p w14:paraId="15192E3D">
            <w:pPr>
              <w:widowControl/>
              <w:jc w:val="center"/>
              <w:textAlignment w:val="center"/>
              <w:rPr>
                <w:rFonts w:hint="eastAsia" w:ascii="宋体" w:hAnsi="宋体" w:cs="宋体"/>
                <w:color w:val="auto"/>
                <w:kern w:val="0"/>
                <w:sz w:val="16"/>
                <w:szCs w:val="16"/>
                <w:lang w:bidi="ar"/>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3F9DFFDB">
            <w:pPr>
              <w:widowControl/>
              <w:jc w:val="center"/>
              <w:textAlignment w:val="center"/>
              <w:rPr>
                <w:rFonts w:hint="eastAsia" w:ascii="宋体" w:hAnsi="宋体" w:cs="宋体"/>
                <w:color w:val="auto"/>
                <w:kern w:val="0"/>
                <w:sz w:val="16"/>
                <w:szCs w:val="16"/>
                <w:lang w:bidi="ar"/>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4D741BB4">
            <w:pPr>
              <w:widowControl/>
              <w:jc w:val="center"/>
              <w:textAlignment w:val="center"/>
              <w:rPr>
                <w:rFonts w:hint="eastAsia" w:ascii="宋体" w:hAnsi="宋体" w:cs="宋体"/>
                <w:color w:val="auto"/>
                <w:kern w:val="0"/>
                <w:sz w:val="16"/>
                <w:szCs w:val="16"/>
                <w:lang w:bidi="ar"/>
              </w:rPr>
            </w:pPr>
          </w:p>
        </w:tc>
        <w:tc>
          <w:tcPr>
            <w:tcW w:w="444" w:type="dxa"/>
            <w:tcBorders>
              <w:top w:val="single" w:color="000000" w:sz="4" w:space="0"/>
              <w:left w:val="single" w:color="000000" w:sz="4" w:space="0"/>
              <w:bottom w:val="single" w:color="000000" w:sz="4" w:space="0"/>
              <w:right w:val="single" w:color="000000" w:sz="4" w:space="0"/>
            </w:tcBorders>
            <w:vAlign w:val="center"/>
          </w:tcPr>
          <w:p w14:paraId="563339EC">
            <w:pPr>
              <w:widowControl/>
              <w:jc w:val="center"/>
              <w:textAlignment w:val="center"/>
              <w:rPr>
                <w:rFonts w:hint="eastAsia" w:ascii="宋体" w:hAnsi="宋体" w:cs="宋体"/>
                <w:color w:val="auto"/>
                <w:kern w:val="0"/>
                <w:sz w:val="16"/>
                <w:szCs w:val="16"/>
                <w:lang w:bidi="ar"/>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9EB0A00">
            <w:pPr>
              <w:widowControl/>
              <w:jc w:val="center"/>
              <w:textAlignment w:val="center"/>
              <w:rPr>
                <w:rFonts w:hint="eastAsia" w:ascii="宋体" w:hAnsi="宋体" w:cs="宋体"/>
                <w:color w:val="auto"/>
                <w:kern w:val="0"/>
                <w:sz w:val="16"/>
                <w:szCs w:val="16"/>
                <w:lang w:bidi="ar"/>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588B00C0">
            <w:pPr>
              <w:widowControl/>
              <w:jc w:val="center"/>
              <w:textAlignment w:val="center"/>
              <w:rPr>
                <w:rFonts w:hint="eastAsia" w:ascii="宋体" w:hAnsi="宋体" w:cs="宋体"/>
                <w:color w:val="auto"/>
                <w:kern w:val="0"/>
                <w:sz w:val="16"/>
                <w:szCs w:val="16"/>
                <w:lang w:bidi="ar"/>
              </w:rPr>
            </w:pPr>
          </w:p>
        </w:tc>
        <w:tc>
          <w:tcPr>
            <w:tcW w:w="712" w:type="dxa"/>
            <w:tcBorders>
              <w:top w:val="single" w:color="000000" w:sz="4" w:space="0"/>
              <w:left w:val="single" w:color="000000" w:sz="4" w:space="0"/>
              <w:bottom w:val="single" w:color="000000" w:sz="4" w:space="0"/>
              <w:right w:val="single" w:color="000000" w:sz="4" w:space="0"/>
            </w:tcBorders>
            <w:vAlign w:val="center"/>
          </w:tcPr>
          <w:p w14:paraId="47A2A213">
            <w:pPr>
              <w:widowControl/>
              <w:jc w:val="center"/>
              <w:textAlignment w:val="center"/>
              <w:rPr>
                <w:rFonts w:hint="eastAsia" w:ascii="宋体" w:hAnsi="宋体" w:cs="宋体"/>
                <w:color w:val="auto"/>
                <w:kern w:val="0"/>
                <w:sz w:val="16"/>
                <w:szCs w:val="16"/>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9772E1C">
            <w:pPr>
              <w:widowControl/>
              <w:jc w:val="center"/>
              <w:textAlignment w:val="center"/>
              <w:rPr>
                <w:rFonts w:hint="eastAsia" w:ascii="宋体" w:hAnsi="宋体" w:cs="宋体"/>
                <w:color w:val="auto"/>
                <w:kern w:val="0"/>
                <w:sz w:val="16"/>
                <w:szCs w:val="16"/>
                <w:lang w:bidi="ar"/>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0D7D2635">
            <w:pPr>
              <w:widowControl/>
              <w:jc w:val="center"/>
              <w:textAlignment w:val="center"/>
              <w:rPr>
                <w:rFonts w:hint="eastAsia" w:ascii="宋体" w:hAnsi="宋体" w:cs="宋体"/>
                <w:color w:val="auto"/>
                <w:kern w:val="0"/>
                <w:sz w:val="16"/>
                <w:szCs w:val="16"/>
                <w:lang w:bidi="ar"/>
              </w:rPr>
            </w:pPr>
          </w:p>
        </w:tc>
      </w:tr>
      <w:tr w14:paraId="265BCAFB">
        <w:tblPrEx>
          <w:tblCellMar>
            <w:top w:w="0" w:type="dxa"/>
            <w:left w:w="108" w:type="dxa"/>
            <w:bottom w:w="0" w:type="dxa"/>
            <w:right w:w="108" w:type="dxa"/>
          </w:tblCellMar>
        </w:tblPrEx>
        <w:trPr>
          <w:trHeight w:val="530" w:hRule="atLeast"/>
        </w:trPr>
        <w:tc>
          <w:tcPr>
            <w:tcW w:w="7830" w:type="dxa"/>
            <w:gridSpan w:val="10"/>
            <w:tcBorders>
              <w:top w:val="single" w:color="000000" w:sz="4" w:space="0"/>
              <w:left w:val="single" w:color="000000" w:sz="4" w:space="0"/>
              <w:bottom w:val="single" w:color="000000" w:sz="4" w:space="0"/>
              <w:right w:val="single" w:color="000000" w:sz="4" w:space="0"/>
            </w:tcBorders>
            <w:vAlign w:val="center"/>
          </w:tcPr>
          <w:p w14:paraId="2C032EDA">
            <w:pPr>
              <w:widowControl/>
              <w:jc w:val="center"/>
              <w:textAlignment w:val="center"/>
              <w:rPr>
                <w:rFonts w:hint="eastAsia" w:ascii="宋体" w:hAnsi="宋体" w:cs="宋体"/>
                <w:b/>
                <w:bCs/>
                <w:color w:val="auto"/>
                <w:sz w:val="16"/>
                <w:szCs w:val="16"/>
              </w:rPr>
            </w:pPr>
            <w:r>
              <w:rPr>
                <w:rFonts w:hint="eastAsia" w:ascii="宋体" w:hAnsi="宋体" w:cs="宋体"/>
                <w:b/>
                <w:bCs/>
                <w:color w:val="auto"/>
                <w:kern w:val="0"/>
                <w:sz w:val="16"/>
                <w:szCs w:val="16"/>
                <w:lang w:bidi="ar"/>
              </w:rPr>
              <w:t>合计金额</w:t>
            </w:r>
          </w:p>
        </w:tc>
        <w:tc>
          <w:tcPr>
            <w:tcW w:w="775" w:type="dxa"/>
            <w:tcBorders>
              <w:top w:val="single" w:color="000000" w:sz="4" w:space="0"/>
              <w:left w:val="single" w:color="000000" w:sz="4" w:space="0"/>
              <w:bottom w:val="single" w:color="000000" w:sz="4" w:space="0"/>
              <w:right w:val="single" w:color="000000" w:sz="4" w:space="0"/>
            </w:tcBorders>
          </w:tcPr>
          <w:p w14:paraId="112932A5">
            <w:pPr>
              <w:jc w:val="center"/>
              <w:rPr>
                <w:rFonts w:hint="eastAsia" w:ascii="宋体" w:hAnsi="宋体" w:cs="宋体"/>
                <w:b/>
                <w:bCs/>
                <w:color w:val="auto"/>
                <w:sz w:val="22"/>
                <w:szCs w:val="22"/>
              </w:rPr>
            </w:pPr>
          </w:p>
        </w:tc>
        <w:tc>
          <w:tcPr>
            <w:tcW w:w="707" w:type="dxa"/>
            <w:tcBorders>
              <w:top w:val="single" w:color="000000" w:sz="4" w:space="0"/>
              <w:left w:val="single" w:color="000000" w:sz="4" w:space="0"/>
              <w:bottom w:val="single" w:color="000000" w:sz="4" w:space="0"/>
              <w:right w:val="single" w:color="000000" w:sz="4" w:space="0"/>
            </w:tcBorders>
          </w:tcPr>
          <w:p w14:paraId="7488A86C">
            <w:pPr>
              <w:jc w:val="center"/>
              <w:rPr>
                <w:rFonts w:hint="eastAsia" w:ascii="宋体" w:hAnsi="宋体" w:cs="宋体"/>
                <w:b/>
                <w:bCs/>
                <w:color w:val="auto"/>
                <w:sz w:val="22"/>
                <w:szCs w:val="22"/>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39B23830">
            <w:pPr>
              <w:widowControl/>
              <w:jc w:val="center"/>
              <w:textAlignment w:val="center"/>
              <w:rPr>
                <w:rFonts w:hint="eastAsia" w:ascii="宋体" w:hAnsi="宋体" w:eastAsia="宋体" w:cs="宋体"/>
                <w:b/>
                <w:bCs/>
                <w:color w:val="auto"/>
                <w:sz w:val="16"/>
                <w:szCs w:val="16"/>
                <w:lang w:eastAsia="zh-CN"/>
              </w:rPr>
            </w:pPr>
            <w:r>
              <w:rPr>
                <w:rFonts w:hint="eastAsia" w:ascii="宋体" w:hAnsi="宋体" w:cs="宋体"/>
                <w:b/>
                <w:bCs/>
                <w:color w:val="auto"/>
                <w:kern w:val="0"/>
                <w:sz w:val="16"/>
                <w:szCs w:val="16"/>
                <w:lang w:eastAsia="zh-CN" w:bidi="ar"/>
              </w:rPr>
              <w:t>***</w:t>
            </w:r>
          </w:p>
        </w:tc>
        <w:tc>
          <w:tcPr>
            <w:tcW w:w="444" w:type="dxa"/>
            <w:tcBorders>
              <w:top w:val="single" w:color="000000" w:sz="4" w:space="0"/>
              <w:left w:val="single" w:color="000000" w:sz="4" w:space="0"/>
              <w:bottom w:val="single" w:color="000000" w:sz="4" w:space="0"/>
              <w:right w:val="single" w:color="000000" w:sz="4" w:space="0"/>
            </w:tcBorders>
            <w:vAlign w:val="center"/>
          </w:tcPr>
          <w:p w14:paraId="05225425">
            <w:pPr>
              <w:jc w:val="center"/>
              <w:rPr>
                <w:rFonts w:hint="eastAsia" w:ascii="宋体" w:hAnsi="宋体" w:cs="宋体"/>
                <w:b/>
                <w:bCs/>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1102C698">
            <w:pPr>
              <w:jc w:val="center"/>
              <w:rPr>
                <w:rFonts w:hint="eastAsia" w:ascii="宋体" w:hAnsi="宋体" w:cs="宋体"/>
                <w:b/>
                <w:bCs/>
                <w:color w:val="auto"/>
                <w:sz w:val="16"/>
                <w:szCs w:val="16"/>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32895CB5">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vAlign w:val="center"/>
          </w:tcPr>
          <w:p w14:paraId="5AB65B07">
            <w:pPr>
              <w:jc w:val="center"/>
              <w:rPr>
                <w:rFonts w:hint="eastAsia" w:ascii="宋体" w:hAnsi="宋体" w:cs="宋体"/>
                <w:b/>
                <w:bCs/>
                <w:color w:val="auto"/>
                <w:sz w:val="16"/>
                <w:szCs w:val="16"/>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0CEFC21">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vAlign w:val="center"/>
          </w:tcPr>
          <w:p w14:paraId="3FAB36A2">
            <w:pPr>
              <w:jc w:val="center"/>
              <w:rPr>
                <w:rFonts w:hint="eastAsia" w:ascii="宋体" w:hAnsi="宋体" w:cs="宋体"/>
                <w:color w:val="auto"/>
                <w:sz w:val="16"/>
                <w:szCs w:val="16"/>
              </w:rPr>
            </w:pPr>
          </w:p>
        </w:tc>
      </w:tr>
      <w:tr w14:paraId="57B89E4F">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2A86C8C4">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不含税金额（大写）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0FD0C8EB">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6CF890DC">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609E2CB7">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税额（大写）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2F265787">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7A4D8711">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16DA3851">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价税合计（大写）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4CAF4096">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bl>
    <w:p w14:paraId="0B438972">
      <w:pPr>
        <w:sectPr>
          <w:pgSz w:w="16838" w:h="11906" w:orient="landscape"/>
          <w:pgMar w:top="1800" w:right="1440" w:bottom="1800" w:left="1440"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491B9E03">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 xml:space="preserve">1、乙方承诺按照甲方提供的施工图纸、技术规范及本合同约定，完成墨江县乡(镇)通三级公路建设项目坝溜公路 </w:t>
      </w:r>
      <w:r>
        <w:rPr>
          <w:rFonts w:hint="eastAsia" w:ascii="宋体" w:hAnsi="宋体" w:cs="宋体"/>
          <w:sz w:val="24"/>
          <w:lang w:eastAsia="zh-CN"/>
        </w:rPr>
        <w:t>K3+746~K8+010段</w:t>
      </w:r>
      <w:r>
        <w:rPr>
          <w:rFonts w:hint="eastAsia" w:ascii="宋体" w:hAnsi="宋体" w:cs="宋体"/>
          <w:sz w:val="24"/>
        </w:rPr>
        <w:t>段内的全部防护与排水工程的施工。具体工作内容包括但不限于：</w:t>
      </w:r>
    </w:p>
    <w:p w14:paraId="4389C360">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1.1 混凝土工程：负责该路段内所有排水沟、路缘石、拦水坝、挡土墙、弃土场拦砂坝、盖板涵涵身等结构物的现浇施工。工作包括基坑开挖后的人工清理基底、整平、填补、模板支设与拆除、混凝土浇筑、振捣、养护（包含薄膜）、场地清理以及与之相关的所有辅助工作。</w:t>
      </w:r>
    </w:p>
    <w:p w14:paraId="171919C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1.2 预制与安装工程：负责边沟、盖板涵混凝土盖板的预制、养护（包含薄膜）、现场运输及安装。</w:t>
      </w:r>
    </w:p>
    <w:p w14:paraId="0D473958">
      <w:pPr>
        <w:spacing w:line="360" w:lineRule="auto"/>
        <w:ind w:firstLine="720" w:firstLineChars="300"/>
        <w:rPr>
          <w:rFonts w:hint="eastAsia" w:ascii="宋体" w:hAnsi="宋体" w:cs="宋体"/>
          <w:color w:val="auto"/>
          <w:sz w:val="24"/>
          <w:szCs w:val="24"/>
          <w:highlight w:val="none"/>
        </w:rPr>
      </w:pPr>
      <w:r>
        <w:rPr>
          <w:rFonts w:hint="eastAsia" w:ascii="宋体" w:hAnsi="宋体" w:cs="宋体"/>
          <w:sz w:val="24"/>
          <w:szCs w:val="24"/>
        </w:rPr>
        <w:t>1.3 钢筋工程：钢筋的放样、制作、安装、植筋、绑扎、调直、除锈、对焊、电弧焊</w:t>
      </w:r>
      <w:r>
        <w:rPr>
          <w:rFonts w:hint="eastAsia" w:ascii="宋体" w:hAnsi="宋体" w:cs="宋体"/>
          <w:color w:val="auto"/>
          <w:sz w:val="24"/>
          <w:szCs w:val="24"/>
        </w:rPr>
        <w:t>，</w:t>
      </w:r>
      <w:r>
        <w:rPr>
          <w:rFonts w:hint="eastAsia" w:ascii="宋体" w:hAnsi="宋体" w:cs="宋体"/>
          <w:color w:val="auto"/>
          <w:sz w:val="24"/>
          <w:szCs w:val="24"/>
          <w:highlight w:val="none"/>
        </w:rPr>
        <w:t>以及钢筋进场的</w:t>
      </w:r>
      <w:r>
        <w:rPr>
          <w:rFonts w:hint="eastAsia" w:ascii="宋体" w:hAnsi="宋体" w:cs="宋体"/>
          <w:color w:val="auto"/>
          <w:sz w:val="24"/>
          <w:szCs w:val="24"/>
          <w:highlight w:val="none"/>
          <w:lang w:val="en-US" w:eastAsia="zh-CN"/>
        </w:rPr>
        <w:t>人工配合</w:t>
      </w:r>
      <w:r>
        <w:rPr>
          <w:rFonts w:hint="eastAsia" w:ascii="宋体" w:hAnsi="宋体" w:cs="宋体"/>
          <w:color w:val="auto"/>
          <w:sz w:val="24"/>
          <w:szCs w:val="24"/>
          <w:highlight w:val="none"/>
        </w:rPr>
        <w:t>下车、现场钢筋转运、收捡、清理、堆码。</w:t>
      </w:r>
    </w:p>
    <w:p w14:paraId="28E3A3B4">
      <w:pPr>
        <w:pStyle w:val="5"/>
        <w:numPr>
          <w:ilvl w:val="255"/>
          <w:numId w:val="0"/>
        </w:num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rPr>
        <w:t>1.4 盲沟工程：负责该路段内碎石盲沟的开挖后的人工清理基底、整平、填补、回填及渗水土工布的铺设。</w:t>
      </w:r>
    </w:p>
    <w:p w14:paraId="400BF69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1.5 甲供材料管理：甲方负责供应商品混凝土、片石、钢筋、碎石、土工布等主要材料至施工现场。乙方负责上述材料的现场签收、保管及合理使用，损耗率按本合同附件清单约定执行。</w:t>
      </w:r>
    </w:p>
    <w:p w14:paraId="26002CFE">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1.6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渣场内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1E84092F">
      <w:pPr>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其他约定</w:t>
      </w:r>
    </w:p>
    <w:p w14:paraId="6635F153">
      <w:pPr>
        <w:numPr>
          <w:ilvl w:val="0"/>
          <w:numId w:val="0"/>
        </w:numPr>
        <w:spacing w:line="360" w:lineRule="auto"/>
        <w:ind w:firstLine="480" w:firstLineChars="200"/>
        <w:rPr>
          <w:rFonts w:ascii="宋体" w:hAnsi="宋体" w:eastAsia="宋体" w:cs="宋体"/>
          <w:color w:val="FF0000"/>
          <w:sz w:val="24"/>
          <w:szCs w:val="24"/>
        </w:rPr>
      </w:pPr>
      <w:r>
        <w:rPr>
          <w:rFonts w:ascii="宋体" w:hAnsi="宋体" w:eastAsia="宋体" w:cs="宋体"/>
          <w:color w:val="FF0000"/>
          <w:sz w:val="24"/>
          <w:szCs w:val="24"/>
        </w:rPr>
        <w:t>①因超出原合同范围或需要新增单价的，乙方要在实施前报公司书面确认或签订补充协议。实施完成后谈新增单价的，一律不予认可。</w:t>
      </w:r>
    </w:p>
    <w:p w14:paraId="0CC6E1A4">
      <w:pPr>
        <w:numPr>
          <w:ilvl w:val="0"/>
          <w:numId w:val="0"/>
        </w:numPr>
        <w:spacing w:line="360" w:lineRule="auto"/>
        <w:ind w:firstLine="480" w:firstLineChars="200"/>
        <w:rPr>
          <w:rFonts w:hint="default" w:ascii="宋体" w:hAnsi="宋体" w:cs="宋体"/>
          <w:color w:val="FF0000"/>
          <w:sz w:val="24"/>
          <w:szCs w:val="24"/>
          <w:lang w:val="en-US" w:eastAsia="zh-CN"/>
        </w:rPr>
      </w:pPr>
      <w:r>
        <w:rPr>
          <w:rFonts w:ascii="宋体" w:hAnsi="宋体" w:eastAsia="宋体" w:cs="宋体"/>
          <w:color w:val="FF0000"/>
          <w:sz w:val="24"/>
          <w:szCs w:val="24"/>
        </w:rPr>
        <w:t>②施工现场确实需要发生合同外产生的零星用工，必须按甲方零工管理制度在用工登记表签字并加盖项目章（一式两份）</w:t>
      </w:r>
      <w:r>
        <w:rPr>
          <w:rFonts w:hint="eastAsia" w:ascii="宋体" w:hAnsi="宋体" w:cs="宋体"/>
          <w:color w:val="FF0000"/>
          <w:sz w:val="24"/>
          <w:szCs w:val="24"/>
          <w:lang w:val="en-US" w:eastAsia="zh-CN"/>
        </w:rPr>
        <w:t>当月结算</w:t>
      </w:r>
      <w:r>
        <w:rPr>
          <w:rFonts w:ascii="宋体" w:hAnsi="宋体" w:eastAsia="宋体" w:cs="宋体"/>
          <w:color w:val="FF0000"/>
          <w:sz w:val="24"/>
          <w:szCs w:val="24"/>
        </w:rPr>
        <w:t>。在其余资料或笔记本上签字的情形均不予结算认可。</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0CDBCA19">
      <w:pPr>
        <w:widowControl/>
        <w:spacing w:line="410" w:lineRule="exact"/>
        <w:ind w:firstLine="480" w:firstLineChars="200"/>
        <w:rPr>
          <w:rFonts w:hint="eastAsia" w:ascii="宋体" w:hAnsi="宋体" w:cs="宋体"/>
          <w:sz w:val="24"/>
          <w:szCs w:val="24"/>
          <w:u w:val="single"/>
        </w:rPr>
      </w:pPr>
      <w:r>
        <w:rPr>
          <w:rFonts w:hint="eastAsia" w:ascii="宋体" w:hAnsi="宋体" w:cs="宋体"/>
          <w:kern w:val="0"/>
          <w:sz w:val="24"/>
          <w:szCs w:val="24"/>
        </w:rPr>
        <w:t>3、暂定主要节点目标：</w:t>
      </w:r>
      <w:r>
        <w:rPr>
          <w:rFonts w:hint="eastAsia" w:ascii="宋体" w:hAnsi="宋体" w:cs="宋体"/>
          <w:sz w:val="24"/>
          <w:szCs w:val="24"/>
          <w:u w:val="single"/>
        </w:rPr>
        <w:t xml:space="preserve">                         </w:t>
      </w:r>
    </w:p>
    <w:p w14:paraId="66E4C75E">
      <w:pPr>
        <w:widowControl/>
        <w:spacing w:line="410" w:lineRule="exact"/>
        <w:ind w:firstLine="480" w:firstLineChars="200"/>
        <w:rPr>
          <w:rFonts w:hint="eastAsia" w:ascii="宋体" w:hAnsi="宋体" w:cs="宋体"/>
          <w:sz w:val="24"/>
          <w:szCs w:val="24"/>
        </w:rPr>
      </w:pPr>
      <w:r>
        <w:rPr>
          <w:rFonts w:hint="eastAsia" w:ascii="宋体" w:hAnsi="宋体" w:cs="宋体"/>
          <w:sz w:val="24"/>
          <w:szCs w:val="24"/>
        </w:rPr>
        <w:t>4、合同工期总日历天数：</w:t>
      </w:r>
      <w:r>
        <w:rPr>
          <w:rFonts w:hint="eastAsia" w:ascii="宋体" w:hAnsi="宋体" w:cs="宋体"/>
          <w:sz w:val="24"/>
          <w:szCs w:val="24"/>
          <w:u w:val="single"/>
        </w:rPr>
        <w:t xml:space="preserve">       120       </w:t>
      </w:r>
      <w:r>
        <w:rPr>
          <w:rFonts w:hint="eastAsia" w:ascii="宋体" w:hAnsi="宋体" w:cs="宋体"/>
          <w:sz w:val="24"/>
          <w:szCs w:val="24"/>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  </w:t>
      </w:r>
      <w:r>
        <w:rPr>
          <w:rFonts w:hint="eastAsia" w:ascii="宋体" w:hAnsi="宋体" w:cs="宋体"/>
          <w:sz w:val="24"/>
          <w:szCs w:val="24"/>
        </w:rPr>
        <w:t>名、兼职安全管理人员</w:t>
      </w:r>
      <w:r>
        <w:rPr>
          <w:rFonts w:hint="eastAsia" w:ascii="宋体" w:hAnsi="宋体" w:cs="宋体"/>
          <w:sz w:val="24"/>
          <w:szCs w:val="24"/>
          <w:u w:val="single"/>
        </w:rPr>
        <w:t xml:space="preserve">  1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rPr>
        <w:t xml:space="preserve">2.1 </w:t>
      </w:r>
      <w:r>
        <w:rPr>
          <w:rFonts w:hint="eastAsia"/>
          <w:color w:val="auto"/>
        </w:rPr>
        <w:t>按月/或实际完成节点合格工程价款的</w:t>
      </w:r>
      <w:r>
        <w:rPr>
          <w:rFonts w:hint="eastAsia"/>
          <w:color w:val="auto"/>
          <w:u w:val="single"/>
        </w:rPr>
        <w:t xml:space="preserve"> 70% </w:t>
      </w:r>
      <w:r>
        <w:rPr>
          <w:color w:val="auto"/>
        </w:rPr>
        <w:t>支付进度款，工程</w:t>
      </w:r>
      <w:r>
        <w:rPr>
          <w:rFonts w:hint="eastAsia"/>
          <w:color w:val="auto"/>
        </w:rPr>
        <w:t>交工</w:t>
      </w:r>
      <w:r>
        <w:rPr>
          <w:color w:val="auto"/>
        </w:rPr>
        <w:t>验收合格后付至总价款的</w:t>
      </w:r>
      <w:r>
        <w:rPr>
          <w:rFonts w:hint="eastAsia"/>
          <w:color w:val="auto"/>
          <w:u w:val="single"/>
        </w:rPr>
        <w:t xml:space="preserve"> 90% </w:t>
      </w:r>
      <w:r>
        <w:rPr>
          <w:color w:val="auto"/>
        </w:rPr>
        <w:t>，</w:t>
      </w:r>
      <w:r>
        <w:rPr>
          <w:rFonts w:hint="eastAsia"/>
          <w:color w:val="auto"/>
          <w:u w:val="single"/>
        </w:rPr>
        <w:t>工程竣工验收合格后支付至总价款的97%。</w:t>
      </w:r>
      <w:r>
        <w:rPr>
          <w:color w:val="auto"/>
        </w:rPr>
        <w:t>剩余</w:t>
      </w:r>
      <w:r>
        <w:rPr>
          <w:rFonts w:hint="eastAsia"/>
          <w:color w:val="auto"/>
        </w:rPr>
        <w:t xml:space="preserve"> </w:t>
      </w:r>
      <w:r>
        <w:rPr>
          <w:rFonts w:hint="eastAsia"/>
          <w:color w:val="auto"/>
          <w:u w:val="single"/>
        </w:rPr>
        <w:t xml:space="preserve">3% </w:t>
      </w:r>
      <w:r>
        <w:rPr>
          <w:color w:val="auto"/>
        </w:rPr>
        <w:t>留作质量保证金在质保期满后一次性无息退还，付款前</w:t>
      </w:r>
      <w:r>
        <w:rPr>
          <w:rFonts w:hint="eastAsia"/>
          <w:color w:val="auto"/>
        </w:rPr>
        <w:t>乙方</w:t>
      </w:r>
      <w:r>
        <w:rPr>
          <w:color w:val="auto"/>
        </w:rPr>
        <w:t>需提供等额增值税发票</w:t>
      </w:r>
      <w:r>
        <w:rPr>
          <w:rFonts w:hint="eastAsia"/>
          <w:color w:val="auto"/>
        </w:rPr>
        <w:t>，甲方凭票付款</w:t>
      </w:r>
      <w:r>
        <w:rPr>
          <w:color w:val="auto"/>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A30034F">
      <w:pPr>
        <w:widowControl/>
        <w:spacing w:line="360" w:lineRule="auto"/>
        <w:ind w:firstLine="241" w:firstLineChars="100"/>
        <w:rPr>
          <w:rFonts w:hint="eastAsia" w:ascii="宋体" w:hAnsi="宋体" w:eastAsia="宋体"/>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783F5726">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公司名称:中路建设(云南)有限公司墨江分公司</w:t>
      </w:r>
    </w:p>
    <w:p w14:paraId="30FF4CA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纳税识别号:91530822MAC5F0013F</w:t>
      </w:r>
    </w:p>
    <w:p w14:paraId="4D2BB83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公司地址:云南省普洱市墨江哈尼族自治县联珠镇埔佐社区联珠镇埔佐社区银匠冲一组</w:t>
      </w:r>
    </w:p>
    <w:p w14:paraId="21462BB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联系方式:17787293574</w:t>
      </w:r>
    </w:p>
    <w:p w14:paraId="1C088F69">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开户银行:墨江哈尼族自治县农村信用合作联社涟漪信用社</w:t>
      </w:r>
    </w:p>
    <w:p w14:paraId="0F7266E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银行账号:0800051859917012</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w:t>
      </w:r>
      <w:r>
        <w:rPr>
          <w:rFonts w:hint="eastAsia" w:ascii="宋体" w:hAnsi="宋体" w:cs="宋体"/>
          <w:sz w:val="24"/>
          <w:szCs w:val="24"/>
          <w:u w:val="single"/>
          <w:lang w:eastAsia="zh-CN"/>
        </w:rPr>
        <w:t>环彦云</w:t>
      </w:r>
      <w:r>
        <w:rPr>
          <w:rFonts w:hint="eastAsia" w:ascii="宋体" w:hAnsi="宋体" w:cs="宋体"/>
          <w:sz w:val="24"/>
          <w:szCs w:val="24"/>
          <w:u w:val="single"/>
        </w:rPr>
        <w:t xml:space="preserve">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    </w:t>
      </w:r>
      <w:r>
        <w:rPr>
          <w:rFonts w:hint="eastAsia" w:ascii="宋体" w:hAnsi="宋体" w:cs="宋体"/>
          <w:sz w:val="24"/>
          <w:szCs w:val="24"/>
        </w:rPr>
        <w:t>、质量负责人</w:t>
      </w:r>
      <w:r>
        <w:rPr>
          <w:rFonts w:hint="eastAsia" w:ascii="宋体" w:hAnsi="宋体" w:cs="宋体"/>
          <w:sz w:val="24"/>
          <w:szCs w:val="24"/>
          <w:u w:val="single"/>
        </w:rPr>
        <w:t xml:space="preserve">    /    </w:t>
      </w:r>
      <w:r>
        <w:rPr>
          <w:rFonts w:hint="eastAsia" w:ascii="宋体" w:hAnsi="宋体" w:cs="宋体"/>
          <w:sz w:val="24"/>
          <w:szCs w:val="24"/>
        </w:rPr>
        <w:t>、技术负责人</w:t>
      </w:r>
      <w:r>
        <w:rPr>
          <w:rFonts w:hint="eastAsia" w:ascii="宋体" w:hAnsi="宋体" w:cs="宋体"/>
          <w:sz w:val="24"/>
          <w:szCs w:val="24"/>
          <w:u w:val="single"/>
        </w:rPr>
        <w:t xml:space="preserve">     /    </w:t>
      </w:r>
      <w:r>
        <w:rPr>
          <w:rFonts w:hint="eastAsia" w:ascii="宋体" w:hAnsi="宋体" w:cs="宋体"/>
          <w:sz w:val="24"/>
          <w:szCs w:val="24"/>
        </w:rPr>
        <w:t>、材料签收人</w:t>
      </w:r>
      <w:r>
        <w:rPr>
          <w:rFonts w:hint="eastAsia" w:ascii="宋体" w:hAnsi="宋体" w:cs="宋体"/>
          <w:sz w:val="24"/>
          <w:szCs w:val="24"/>
          <w:u w:val="single"/>
        </w:rPr>
        <w:t xml:space="preserve">      /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lang w:val="en-US" w:eastAsia="zh-CN"/>
              </w:rPr>
              <w:t>2</w:t>
            </w:r>
            <w:r>
              <w:rPr>
                <w:rFonts w:hint="eastAsia"/>
              </w:rPr>
              <w:t>%</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pPr>
            <w:r>
              <w:rPr>
                <w:rFonts w:hint="eastAsia"/>
              </w:rPr>
              <w:t>片石</w:t>
            </w:r>
          </w:p>
        </w:tc>
        <w:tc>
          <w:tcPr>
            <w:tcW w:w="2075" w:type="dxa"/>
            <w:vAlign w:val="center"/>
          </w:tcPr>
          <w:p w14:paraId="3F693A80">
            <w:pPr>
              <w:spacing w:line="360" w:lineRule="auto"/>
              <w:jc w:val="center"/>
              <w:rPr>
                <w:color w:val="FF0000"/>
              </w:rPr>
            </w:pPr>
            <w:r>
              <w:rPr>
                <w:rFonts w:hint="eastAsia"/>
                <w:lang w:val="en-US" w:eastAsia="zh-CN"/>
              </w:rPr>
              <w:t>2</w:t>
            </w:r>
            <w:r>
              <w:rPr>
                <w:rFonts w:hint="eastAsia"/>
              </w:rPr>
              <w:t>%</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lang w:val="en-US" w:eastAsia="zh-CN"/>
              </w:rPr>
              <w:t>2</w:t>
            </w:r>
            <w:r>
              <w:rPr>
                <w:rFonts w:hint="eastAsia"/>
              </w:rPr>
              <w:t>%</w:t>
            </w:r>
          </w:p>
        </w:tc>
        <w:tc>
          <w:tcPr>
            <w:tcW w:w="1181" w:type="dxa"/>
            <w:vAlign w:val="center"/>
          </w:tcPr>
          <w:p w14:paraId="76E62B04">
            <w:pPr>
              <w:spacing w:line="360" w:lineRule="auto"/>
              <w:jc w:val="center"/>
            </w:pPr>
          </w:p>
        </w:tc>
      </w:tr>
      <w:tr w14:paraId="4B6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4D1FE">
            <w:pPr>
              <w:spacing w:line="360" w:lineRule="auto"/>
              <w:jc w:val="center"/>
            </w:pPr>
            <w:r>
              <w:rPr>
                <w:rFonts w:hint="eastAsia"/>
              </w:rPr>
              <w:t>4</w:t>
            </w:r>
          </w:p>
        </w:tc>
        <w:tc>
          <w:tcPr>
            <w:tcW w:w="2509" w:type="dxa"/>
            <w:vAlign w:val="center"/>
          </w:tcPr>
          <w:p w14:paraId="3B58C9ED">
            <w:pPr>
              <w:spacing w:line="360" w:lineRule="auto"/>
              <w:jc w:val="center"/>
            </w:pPr>
            <w:r>
              <w:rPr>
                <w:rFonts w:hint="eastAsia"/>
              </w:rPr>
              <w:t>碎石</w:t>
            </w:r>
          </w:p>
        </w:tc>
        <w:tc>
          <w:tcPr>
            <w:tcW w:w="2075" w:type="dxa"/>
            <w:vAlign w:val="center"/>
          </w:tcPr>
          <w:p w14:paraId="58475BF8">
            <w:pPr>
              <w:spacing w:line="360" w:lineRule="auto"/>
              <w:jc w:val="center"/>
              <w:rPr>
                <w:rFonts w:hint="default" w:eastAsia="宋体"/>
                <w:color w:val="FF0000"/>
                <w:lang w:val="en-US" w:eastAsia="zh-CN"/>
              </w:rPr>
            </w:pPr>
            <w:r>
              <w:rPr>
                <w:rFonts w:hint="eastAsia"/>
                <w:lang w:val="en-US" w:eastAsia="zh-CN"/>
              </w:rPr>
              <w:t>2%</w:t>
            </w:r>
          </w:p>
        </w:tc>
        <w:tc>
          <w:tcPr>
            <w:tcW w:w="1181" w:type="dxa"/>
            <w:vAlign w:val="center"/>
          </w:tcPr>
          <w:p w14:paraId="44A00EE3">
            <w:pPr>
              <w:spacing w:line="360" w:lineRule="auto"/>
              <w:jc w:val="center"/>
            </w:pPr>
          </w:p>
        </w:tc>
      </w:tr>
      <w:tr w14:paraId="1F2E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6DF4876E">
            <w:pPr>
              <w:spacing w:line="360" w:lineRule="auto"/>
              <w:jc w:val="center"/>
            </w:pPr>
            <w:r>
              <w:rPr>
                <w:rFonts w:hint="eastAsia"/>
              </w:rPr>
              <w:t>5</w:t>
            </w:r>
          </w:p>
        </w:tc>
        <w:tc>
          <w:tcPr>
            <w:tcW w:w="2509" w:type="dxa"/>
            <w:vAlign w:val="center"/>
          </w:tcPr>
          <w:p w14:paraId="58FC6751">
            <w:pPr>
              <w:spacing w:line="360" w:lineRule="auto"/>
              <w:jc w:val="center"/>
            </w:pPr>
            <w:r>
              <w:rPr>
                <w:rFonts w:hint="eastAsia"/>
              </w:rPr>
              <w:t>土工布</w:t>
            </w:r>
          </w:p>
        </w:tc>
        <w:tc>
          <w:tcPr>
            <w:tcW w:w="2075" w:type="dxa"/>
            <w:vAlign w:val="center"/>
          </w:tcPr>
          <w:p w14:paraId="66147F0A">
            <w:pPr>
              <w:spacing w:line="360" w:lineRule="auto"/>
              <w:jc w:val="center"/>
              <w:rPr>
                <w:color w:val="FF0000"/>
              </w:rPr>
            </w:pPr>
            <w:r>
              <w:rPr>
                <w:rFonts w:hint="eastAsia"/>
              </w:rPr>
              <w:t>/</w:t>
            </w:r>
          </w:p>
        </w:tc>
        <w:tc>
          <w:tcPr>
            <w:tcW w:w="1181" w:type="dxa"/>
            <w:vAlign w:val="center"/>
          </w:tcPr>
          <w:p w14:paraId="3B5AA30F">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6</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PVC泄水管</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rPr>
      </w:pPr>
      <w:r>
        <w:rPr>
          <w:rFonts w:hint="eastAsia" w:ascii="宋体" w:hAnsi="宋体" w:cs="宋体"/>
          <w:sz w:val="24"/>
          <w:szCs w:val="24"/>
        </w:rPr>
        <w:t xml:space="preserve">    1.10本工程按月或进度节点计量，每月支付进度款至7</w:t>
      </w:r>
      <w:r>
        <w:rPr>
          <w:rFonts w:ascii="宋体" w:hAnsi="宋体" w:cs="宋体"/>
          <w:sz w:val="24"/>
          <w:szCs w:val="24"/>
        </w:rPr>
        <w:t>0</w:t>
      </w:r>
      <w:r>
        <w:rPr>
          <w:rFonts w:hint="eastAsia" w:ascii="宋体" w:hAnsi="宋体" w:cs="宋体"/>
          <w:sz w:val="24"/>
          <w:szCs w:val="24"/>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5</w:t>
      </w:r>
      <w:r>
        <w:rPr>
          <w:rFonts w:hint="eastAsia" w:ascii="宋体" w:hAnsi="宋体" w:cs="宋体"/>
          <w:sz w:val="24"/>
          <w:szCs w:val="24"/>
          <w:u w:val="single"/>
        </w:rPr>
        <w:t xml:space="preserve"> </w:t>
      </w:r>
      <w:r>
        <w:rPr>
          <w:rFonts w:hint="eastAsia" w:ascii="宋体" w:hAnsi="宋体" w:cs="宋体"/>
          <w:sz w:val="24"/>
          <w:szCs w:val="24"/>
        </w:rPr>
        <w:t>日前按照本合同14条要求安排人员进场；并向甲方书面报告，便于甲方组织现场检查。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5</w:t>
      </w:r>
      <w:r>
        <w:rPr>
          <w:rFonts w:hint="eastAsia" w:ascii="宋体" w:hAnsi="宋体" w:cs="宋体"/>
          <w:sz w:val="24"/>
          <w:szCs w:val="24"/>
          <w:u w:val="single"/>
        </w:rPr>
        <w:t xml:space="preserve"> </w:t>
      </w:r>
      <w:r>
        <w:rPr>
          <w:rFonts w:hint="eastAsia" w:ascii="宋体" w:hAnsi="宋体" w:cs="宋体"/>
          <w:sz w:val="24"/>
          <w:szCs w:val="24"/>
        </w:rPr>
        <w:t>日前按照本合同14条安排进场设备，并保证进场设备完好率达到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w:t>
      </w:r>
      <w:bookmarkStart w:id="3" w:name="_GoBack"/>
      <w:bookmarkEnd w:id="3"/>
      <w:r>
        <w:rPr>
          <w:rFonts w:hint="eastAsia" w:ascii="宋体" w:hAnsi="宋体" w:cs="宋体"/>
          <w:sz w:val="24"/>
          <w:szCs w:val="24"/>
        </w:rPr>
        <w:t>，便于甲方组织现场检查验收。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49526C8D">
      <w:pPr>
        <w:spacing w:line="360" w:lineRule="auto"/>
        <w:ind w:firstLine="281" w:firstLineChars="100"/>
        <w:rPr>
          <w:rFonts w:hint="eastAsia" w:ascii="宋体" w:hAnsi="宋体" w:cs="宋体"/>
          <w:b/>
          <w:sz w:val="28"/>
          <w:szCs w:val="28"/>
        </w:rPr>
      </w:pPr>
    </w:p>
    <w:p w14:paraId="7A1B2D51">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323D4D5B">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1、因乙方原因（包括未按图、规范施工等原因）导致施工期间的事故其处理费用及责任由乙方自行承担。</w:t>
      </w:r>
    </w:p>
    <w:p w14:paraId="4121803B">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4330159F">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3、在施工过程中，甲方有权根据工程的工期要求及实际情况要求乙方增加施工设备，乙方须无条件配合，否则由此产生的一切损失由乙方承担。</w:t>
      </w:r>
    </w:p>
    <w:p w14:paraId="625CCC5C">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4、投标时乙方已经详细踏勘过现场，施工过程中，不论任何原因导致施工方案发生变化而引起的费用调增均由乙方承担。</w:t>
      </w:r>
    </w:p>
    <w:p w14:paraId="0CECDCD6">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5、本工程为线性工程，在施工过程中，如因乙方施工进度较慢，造成无法正常完工的，甲方可安排其他施工单位进行施工。如其他标段施工进度较快，乙方应无条件将招标范围内施工场地移交其他施工单位。</w:t>
      </w:r>
    </w:p>
    <w:p w14:paraId="7A2D0B43">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6、若因实施工程内容超出原合同范围或需新增单价的，乙方应在实施前向本合同甲方报送书面确认文件或签订补充协议。凡实施完成后再协商新增单价的，本合同甲方一律不予认可。新增部分一万以内的由负责人写情况说明，作为补充协议的依据，超一万的由分管领导签字同意作为补充协议的依据。</w:t>
      </w:r>
    </w:p>
    <w:p w14:paraId="33CDC29E">
      <w:pPr>
        <w:keepNext w:val="0"/>
        <w:keepLines w:val="0"/>
        <w:widowControl/>
        <w:suppressLineNumbers w:val="0"/>
        <w:spacing w:before="0" w:beforeAutospacing="0" w:after="0" w:afterAutospacing="0" w:line="360" w:lineRule="auto"/>
        <w:ind w:left="0" w:leftChars="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7、施工现场确实需要发生合同外产生的零星用工，必须按本合同甲方零工管理制度在用工登记表签字并加盖项目章（一式两份）当月结算。在其余资料或笔记本上签字的情形均不予结算认可。</w:t>
      </w:r>
    </w:p>
    <w:p w14:paraId="68AD2F8D">
      <w:pPr>
        <w:keepNext w:val="0"/>
        <w:keepLines w:val="0"/>
        <w:widowControl/>
        <w:suppressLineNumbers w:val="0"/>
        <w:spacing w:before="0" w:beforeAutospacing="0" w:after="0" w:afterAutospacing="0" w:line="360" w:lineRule="auto"/>
        <w:ind w:left="0" w:leftChars="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8、施工中的项目，进度款结算及最终结算依据，必须由本合同确定的项目负责人签字确认，没有签字的，本合同甲方一律不予认可。如果过程中本合同甲方更换项目负责人，应给予书面通知乙方。</w:t>
      </w:r>
    </w:p>
    <w:p w14:paraId="409ADC63">
      <w:pPr>
        <w:keepNext w:val="0"/>
        <w:keepLines w:val="0"/>
        <w:widowControl/>
        <w:suppressLineNumbers w:val="0"/>
        <w:spacing w:before="0" w:beforeAutospacing="0" w:after="0" w:afterAutospacing="0" w:line="360" w:lineRule="auto"/>
        <w:ind w:left="0" w:leftChars="0" w:right="0"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9、收尾阶段或未明确项目负责人的项目，进度款结算及最终结算依据，必须由本合同甲方工程管理部负责人签字确认，没有签字的，本合同甲方一律不予认可。</w:t>
      </w:r>
    </w:p>
    <w:p w14:paraId="4C2D0793">
      <w:pPr>
        <w:keepNext w:val="0"/>
        <w:keepLines w:val="0"/>
        <w:widowControl/>
        <w:suppressLineNumbers w:val="0"/>
        <w:spacing w:before="0" w:beforeAutospacing="0" w:after="0" w:afterAutospacing="0" w:line="360" w:lineRule="auto"/>
        <w:ind w:left="0" w:leftChars="0" w:right="0" w:firstLine="480" w:firstLineChars="200"/>
        <w:jc w:val="left"/>
        <w:rPr>
          <w:rFonts w:hint="eastAsia" w:ascii="宋体" w:hAnsi="宋体" w:eastAsia="宋体" w:cs="宋体"/>
          <w:b/>
          <w:bCs/>
          <w:kern w:val="2"/>
          <w:sz w:val="28"/>
          <w:szCs w:val="28"/>
        </w:rPr>
      </w:pPr>
      <w:r>
        <w:rPr>
          <w:rFonts w:hint="eastAsia" w:ascii="宋体" w:hAnsi="宋体" w:eastAsia="宋体" w:cs="宋体"/>
          <w:b w:val="0"/>
          <w:bCs w:val="0"/>
          <w:kern w:val="2"/>
          <w:sz w:val="24"/>
          <w:szCs w:val="24"/>
          <w:lang w:val="en-US" w:eastAsia="zh-CN" w:bidi="ar"/>
        </w:rPr>
        <w:t>10</w:t>
      </w:r>
      <w:r>
        <w:rPr>
          <w:rFonts w:hint="eastAsia" w:ascii="宋体" w:hAnsi="宋体" w:eastAsia="宋体" w:cs="宋体"/>
          <w:kern w:val="2"/>
          <w:sz w:val="24"/>
          <w:szCs w:val="24"/>
          <w:lang w:val="en-US" w:eastAsia="zh-CN" w:bidi="ar"/>
        </w:rPr>
        <w:t>、</w:t>
      </w:r>
      <w:r>
        <w:rPr>
          <w:rFonts w:hint="eastAsia" w:ascii="宋体" w:hAnsi="宋体" w:eastAsia="宋体" w:cs="宋体"/>
          <w:b/>
          <w:bCs/>
          <w:kern w:val="2"/>
          <w:sz w:val="24"/>
          <w:szCs w:val="24"/>
          <w:lang w:val="en-US" w:eastAsia="zh-CN" w:bidi="ar"/>
        </w:rPr>
        <w:t>甲方向乙方的工程款支付与业主方</w:t>
      </w:r>
      <w:r>
        <w:rPr>
          <w:rFonts w:hint="eastAsia" w:ascii="宋体" w:hAnsi="宋体" w:eastAsia="宋体" w:cs="宋体"/>
          <w:b/>
          <w:bCs/>
          <w:kern w:val="2"/>
          <w:sz w:val="24"/>
          <w:szCs w:val="24"/>
          <w:u w:val="single"/>
          <w:lang w:val="en-US" w:eastAsia="zh-CN" w:bidi="ar"/>
        </w:rPr>
        <w:t>墨江哈尼族自治县地方公路管理段</w:t>
      </w:r>
      <w:r>
        <w:rPr>
          <w:rFonts w:hint="eastAsia" w:ascii="宋体" w:hAnsi="宋体" w:eastAsia="宋体" w:cs="宋体"/>
          <w:b/>
          <w:bCs/>
          <w:kern w:val="2"/>
          <w:sz w:val="24"/>
          <w:szCs w:val="24"/>
          <w:lang w:val="en-US" w:eastAsia="zh-CN" w:bidi="ar"/>
        </w:rPr>
        <w:t>给甲方支付工程款同步同比例进行。若业主方延迟或拒付工程款时，甲方协助乙方，先通过调解等方式向业主方主张款项，如未能与业主方达成调解的，乙方可通过诉讼等方式向业主方主张款项，甲方应予以协助。但是乙方未向业主方主张欠付款项的情况下不得直接向甲方主张款项，否则视为乙方违约。</w:t>
      </w:r>
    </w:p>
    <w:p w14:paraId="1350E4AD">
      <w:pPr>
        <w:spacing w:line="360" w:lineRule="auto"/>
        <w:jc w:val="left"/>
        <w:rPr>
          <w:rFonts w:hint="eastAsia" w:ascii="宋体" w:hAnsi="宋体" w:cs="宋体"/>
          <w:b/>
          <w:sz w:val="28"/>
          <w:szCs w:val="28"/>
        </w:rPr>
      </w:pP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中路建设（云南）有限公司墨江分公司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rPr>
        <w:t>月签署了《</w:t>
      </w:r>
      <w:r>
        <w:rPr>
          <w:rFonts w:hint="eastAsia" w:ascii="宋体" w:hAnsi="宋体" w:cs="宋体"/>
          <w:sz w:val="24"/>
          <w:szCs w:val="24"/>
          <w:lang w:eastAsia="zh-CN"/>
        </w:rPr>
        <w:t>墨江县乡(镇)通三级公路建设项目坝溜公路 K3+746~K8+010段段防护排水工程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rPr>
        <w:t>中路建设（云南）有限公司墨江分公司：</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rPr>
        <w:t xml:space="preserve">                  </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w:t>
      </w:r>
      <w:r>
        <w:rPr>
          <w:rFonts w:hint="eastAsia" w:ascii="宋体" w:hAnsi="宋体" w:cs="宋体"/>
          <w:b/>
          <w:bCs/>
          <w:kern w:val="0"/>
          <w:sz w:val="24"/>
          <w:szCs w:val="24"/>
          <w:u w:val="single"/>
          <w:lang w:eastAsia="zh-CN"/>
        </w:rPr>
        <w:t>环彦云</w:t>
      </w:r>
      <w:r>
        <w:rPr>
          <w:rFonts w:hint="eastAsia" w:ascii="宋体" w:hAnsi="宋体" w:cs="宋体"/>
          <w:b/>
          <w:bCs/>
          <w:kern w:val="0"/>
          <w:sz w:val="24"/>
          <w:szCs w:val="24"/>
          <w:u w:val="single"/>
        </w:rPr>
        <w:t xml:space="preserve">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 xml:space="preserve"> </w:t>
      </w:r>
      <w:r>
        <w:rPr>
          <w:rFonts w:hint="eastAsia" w:ascii="宋体" w:hAnsi="宋体" w:cs="宋体"/>
          <w:b/>
          <w:bCs/>
          <w:kern w:val="0"/>
          <w:sz w:val="24"/>
          <w:szCs w:val="24"/>
          <w:u w:val="single"/>
          <w:lang w:eastAsia="zh-CN"/>
        </w:rPr>
        <w:t>***</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444500</wp:posOffset>
            </wp:positionH>
            <wp:positionV relativeFrom="paragraph">
              <wp:posOffset>317500</wp:posOffset>
            </wp:positionV>
            <wp:extent cx="4705985" cy="4081145"/>
            <wp:effectExtent l="0" t="0" r="3175" b="317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05985" cy="408114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中路建设（云南）有限公司墨江分公司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K3+746~K8+010段段 防护排水工程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中路建设（云南）有限公司墨江分公司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118DDB63">
      <w:pPr>
        <w:pStyle w:val="6"/>
        <w:rPr>
          <w:b/>
          <w:bCs/>
          <w:sz w:val="28"/>
          <w:szCs w:val="18"/>
        </w:rPr>
      </w:pPr>
      <w:r>
        <w:rPr>
          <w:rFonts w:hint="eastAsia"/>
          <w:b/>
          <w:bCs/>
          <w:sz w:val="28"/>
          <w:szCs w:val="18"/>
        </w:rPr>
        <w:t>附件2 基本账户信息</w:t>
      </w:r>
    </w:p>
    <w:p w14:paraId="0A261AB1">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b/>
          <w:bCs/>
          <w:sz w:val="2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仿宋简">
    <w:panose1 w:val="02010600000101010101"/>
    <w:charset w:val="80"/>
    <w:family w:val="auto"/>
    <w:pitch w:val="default"/>
    <w:sig w:usb0="800002BF" w:usb1="184F6C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中路建设（云南）有限公司墨江分公司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00000014"/>
    <w:multiLevelType w:val="singleLevel"/>
    <w:tmpl w:val="00000014"/>
    <w:lvl w:ilvl="0" w:tentative="0">
      <w:start w:val="1"/>
      <w:numFmt w:val="decimal"/>
      <w:suff w:val="nothing"/>
      <w:lvlText w:val="（%1）"/>
      <w:lvlJc w:val="left"/>
    </w:lvl>
  </w:abstractNum>
  <w:abstractNum w:abstractNumId="2">
    <w:nsid w:val="131DCD7F"/>
    <w:multiLevelType w:val="singleLevel"/>
    <w:tmpl w:val="131DCD7F"/>
    <w:lvl w:ilvl="0" w:tentative="0">
      <w:start w:val="8"/>
      <w:numFmt w:val="chineseCounting"/>
      <w:suff w:val="space"/>
      <w:lvlText w:val="第%1条"/>
      <w:lvlJc w:val="left"/>
      <w:rPr>
        <w:rFonts w:hint="eastAsia"/>
        <w:b/>
        <w:bCs/>
      </w:rPr>
    </w:lvl>
  </w:abstractNum>
  <w:abstractNum w:abstractNumId="3">
    <w:nsid w:val="325BD16E"/>
    <w:multiLevelType w:val="singleLevel"/>
    <w:tmpl w:val="325BD16E"/>
    <w:lvl w:ilvl="0" w:tentative="0">
      <w:start w:val="7"/>
      <w:numFmt w:val="decimal"/>
      <w:lvlText w:val="%1."/>
      <w:lvlJc w:val="left"/>
      <w:pPr>
        <w:tabs>
          <w:tab w:val="left" w:pos="312"/>
        </w:tabs>
      </w:p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1C2771A"/>
    <w:rsid w:val="11D60FB3"/>
    <w:rsid w:val="12A91A1F"/>
    <w:rsid w:val="14602CE0"/>
    <w:rsid w:val="19CC338E"/>
    <w:rsid w:val="1A9646D2"/>
    <w:rsid w:val="1C1C3D2F"/>
    <w:rsid w:val="206656A6"/>
    <w:rsid w:val="20F02FF7"/>
    <w:rsid w:val="21110DC5"/>
    <w:rsid w:val="236338C4"/>
    <w:rsid w:val="247463AE"/>
    <w:rsid w:val="250E6E45"/>
    <w:rsid w:val="291E7CF1"/>
    <w:rsid w:val="359C53CE"/>
    <w:rsid w:val="360A111D"/>
    <w:rsid w:val="366B7192"/>
    <w:rsid w:val="397B655D"/>
    <w:rsid w:val="40E012FC"/>
    <w:rsid w:val="4163439D"/>
    <w:rsid w:val="41C735F4"/>
    <w:rsid w:val="424F27D8"/>
    <w:rsid w:val="4F667FF0"/>
    <w:rsid w:val="51B57CBF"/>
    <w:rsid w:val="52FC2E1D"/>
    <w:rsid w:val="59013E59"/>
    <w:rsid w:val="590F04BF"/>
    <w:rsid w:val="5B7A6F8C"/>
    <w:rsid w:val="5F227C65"/>
    <w:rsid w:val="5FFA3965"/>
    <w:rsid w:val="610C5D8B"/>
    <w:rsid w:val="6452258D"/>
    <w:rsid w:val="65AE3FAF"/>
    <w:rsid w:val="669C671B"/>
    <w:rsid w:val="68166535"/>
    <w:rsid w:val="6F894A9A"/>
    <w:rsid w:val="6FE20702"/>
    <w:rsid w:val="7B50770E"/>
    <w:rsid w:val="7B7B6ECD"/>
    <w:rsid w:val="7C3F62D7"/>
    <w:rsid w:val="7F46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7700</Words>
  <Characters>8045</Characters>
  <Lines>1</Lines>
  <Paragraphs>1</Paragraphs>
  <TotalTime>2</TotalTime>
  <ScaleCrop>false</ScaleCrop>
  <LinksUpToDate>false</LinksUpToDate>
  <CharactersWithSpaces>8716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2026-03-26T02:01:47Z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401CD8A03C9049E89C90C2FA9667D691_13</vt:lpwstr>
  </property>
  <property fmtid="{D5CDD505-2E9C-101B-9397-08002B2CF9AE}" pid="4" name="KSOTemplateDocerSaveRecord">
    <vt:lpwstr>eyJoZGlkIjoiZjI5YmE0NmUzNWNmOWEwNDdhYmFmZTBhZGM3YjY1ZDAiLCJ1c2VySWQiOiI0MTkwMTY3MDUifQ==</vt:lpwstr>
  </property>
</Properties>
</file>